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48A" w:rsidRPr="00842B3E" w:rsidRDefault="0003048A" w:rsidP="002400B7">
      <w:pPr>
        <w:spacing w:line="276" w:lineRule="auto"/>
        <w:rPr>
          <w:rFonts w:cstheme="minorHAnsi"/>
          <w:sz w:val="24"/>
          <w:szCs w:val="24"/>
        </w:rPr>
      </w:pPr>
    </w:p>
    <w:p w:rsidR="0003048A" w:rsidRPr="00842B3E" w:rsidRDefault="0003048A" w:rsidP="002400B7">
      <w:pPr>
        <w:spacing w:line="276" w:lineRule="auto"/>
        <w:rPr>
          <w:rFonts w:cstheme="minorHAnsi"/>
          <w:sz w:val="24"/>
          <w:szCs w:val="24"/>
        </w:rPr>
      </w:pPr>
    </w:p>
    <w:p w:rsidR="0003048A" w:rsidRPr="00842B3E" w:rsidRDefault="0003048A" w:rsidP="002400B7">
      <w:pPr>
        <w:spacing w:line="276" w:lineRule="auto"/>
        <w:rPr>
          <w:rFonts w:cstheme="minorHAnsi"/>
          <w:sz w:val="24"/>
          <w:szCs w:val="24"/>
        </w:rPr>
      </w:pPr>
    </w:p>
    <w:p w:rsidR="0003048A" w:rsidRPr="00842B3E" w:rsidRDefault="0003048A" w:rsidP="002400B7">
      <w:pPr>
        <w:spacing w:line="276" w:lineRule="auto"/>
        <w:rPr>
          <w:rFonts w:cstheme="minorHAnsi"/>
          <w:sz w:val="24"/>
          <w:szCs w:val="24"/>
        </w:rPr>
      </w:pPr>
    </w:p>
    <w:p w:rsidR="0003048A" w:rsidRPr="00842B3E" w:rsidRDefault="0003048A" w:rsidP="002400B7">
      <w:pPr>
        <w:spacing w:line="276" w:lineRule="auto"/>
        <w:rPr>
          <w:rFonts w:cstheme="minorHAnsi"/>
          <w:sz w:val="24"/>
          <w:szCs w:val="24"/>
        </w:rPr>
      </w:pPr>
    </w:p>
    <w:p w:rsidR="0003048A" w:rsidRPr="00842B3E" w:rsidRDefault="0003048A" w:rsidP="002400B7">
      <w:pPr>
        <w:spacing w:line="276" w:lineRule="auto"/>
        <w:rPr>
          <w:rFonts w:cstheme="minorHAnsi"/>
          <w:sz w:val="24"/>
          <w:szCs w:val="24"/>
        </w:rPr>
      </w:pPr>
    </w:p>
    <w:p w:rsidR="0003048A" w:rsidRPr="002400B7" w:rsidRDefault="0003048A" w:rsidP="002400B7">
      <w:pPr>
        <w:spacing w:line="276" w:lineRule="auto"/>
        <w:jc w:val="center"/>
        <w:rPr>
          <w:rFonts w:cstheme="minorHAnsi"/>
          <w:b/>
          <w:color w:val="00B050"/>
          <w:sz w:val="32"/>
          <w:szCs w:val="32"/>
        </w:rPr>
      </w:pPr>
      <w:r w:rsidRPr="002400B7">
        <w:rPr>
          <w:rFonts w:cstheme="minorHAnsi"/>
          <w:b/>
          <w:color w:val="00B050"/>
          <w:sz w:val="32"/>
          <w:szCs w:val="32"/>
        </w:rPr>
        <w:t>Protokół z przeprowadzonego audytu wewnętrznego</w:t>
      </w:r>
    </w:p>
    <w:p w:rsidR="0003048A" w:rsidRPr="002400B7" w:rsidRDefault="0003048A" w:rsidP="002400B7">
      <w:pPr>
        <w:spacing w:line="276" w:lineRule="auto"/>
        <w:jc w:val="center"/>
        <w:rPr>
          <w:rFonts w:cstheme="minorHAnsi"/>
          <w:b/>
          <w:color w:val="00B050"/>
          <w:sz w:val="32"/>
          <w:szCs w:val="32"/>
        </w:rPr>
      </w:pPr>
      <w:r w:rsidRPr="002400B7">
        <w:rPr>
          <w:rFonts w:cstheme="minorHAnsi"/>
          <w:b/>
          <w:color w:val="00B050"/>
          <w:sz w:val="32"/>
          <w:szCs w:val="32"/>
        </w:rPr>
        <w:t>doskonalenia jakości kształcenia</w:t>
      </w:r>
    </w:p>
    <w:p w:rsidR="00D45A2C" w:rsidRPr="00D45A2C" w:rsidRDefault="0003048A" w:rsidP="00D45A2C">
      <w:pPr>
        <w:spacing w:line="276" w:lineRule="auto"/>
        <w:jc w:val="center"/>
        <w:rPr>
          <w:rFonts w:cstheme="minorHAnsi"/>
          <w:sz w:val="28"/>
          <w:szCs w:val="24"/>
        </w:rPr>
      </w:pPr>
      <w:r w:rsidRPr="00842B3E">
        <w:rPr>
          <w:rFonts w:cstheme="minorHAnsi"/>
          <w:sz w:val="24"/>
          <w:szCs w:val="24"/>
        </w:rPr>
        <w:t xml:space="preserve"> </w:t>
      </w:r>
      <w:r w:rsidR="00D45A2C">
        <w:rPr>
          <w:rFonts w:cstheme="minorHAnsi"/>
          <w:sz w:val="28"/>
          <w:szCs w:val="24"/>
        </w:rPr>
        <w:t>z</w:t>
      </w:r>
      <w:r w:rsidR="00D45A2C" w:rsidRPr="00D45A2C">
        <w:rPr>
          <w:rFonts w:cstheme="minorHAnsi"/>
          <w:sz w:val="28"/>
          <w:szCs w:val="24"/>
        </w:rPr>
        <w:t>a rok akademicki 2023/2024</w:t>
      </w:r>
    </w:p>
    <w:p w:rsidR="0003048A" w:rsidRPr="00842B3E" w:rsidRDefault="0003048A" w:rsidP="002400B7">
      <w:pPr>
        <w:spacing w:line="276" w:lineRule="auto"/>
        <w:rPr>
          <w:rFonts w:cstheme="minorHAnsi"/>
          <w:sz w:val="24"/>
          <w:szCs w:val="24"/>
        </w:rPr>
      </w:pPr>
    </w:p>
    <w:p w:rsidR="0003048A" w:rsidRPr="00842B3E" w:rsidRDefault="0003048A" w:rsidP="002400B7">
      <w:pPr>
        <w:spacing w:line="276" w:lineRule="auto"/>
        <w:rPr>
          <w:rFonts w:cstheme="minorHAnsi"/>
          <w:sz w:val="24"/>
          <w:szCs w:val="24"/>
        </w:rPr>
      </w:pPr>
      <w:r w:rsidRPr="00842B3E">
        <w:rPr>
          <w:rFonts w:cstheme="minorHAnsi"/>
          <w:sz w:val="24"/>
          <w:szCs w:val="24"/>
        </w:rPr>
        <w:t xml:space="preserve"> </w:t>
      </w:r>
    </w:p>
    <w:p w:rsidR="0003048A" w:rsidRPr="00842B3E" w:rsidRDefault="0003048A" w:rsidP="002400B7">
      <w:pPr>
        <w:spacing w:line="276" w:lineRule="auto"/>
        <w:rPr>
          <w:rFonts w:cstheme="minorHAnsi"/>
          <w:sz w:val="24"/>
          <w:szCs w:val="24"/>
        </w:rPr>
      </w:pPr>
      <w:r w:rsidRPr="00842B3E">
        <w:rPr>
          <w:rFonts w:cstheme="minorHAnsi"/>
          <w:sz w:val="24"/>
          <w:szCs w:val="24"/>
        </w:rPr>
        <w:t xml:space="preserve"> </w:t>
      </w:r>
    </w:p>
    <w:p w:rsidR="0003048A" w:rsidRPr="00842B3E" w:rsidRDefault="0003048A" w:rsidP="002400B7">
      <w:pPr>
        <w:spacing w:line="276" w:lineRule="auto"/>
        <w:rPr>
          <w:rFonts w:cstheme="minorHAnsi"/>
          <w:sz w:val="24"/>
          <w:szCs w:val="24"/>
        </w:rPr>
      </w:pPr>
      <w:r w:rsidRPr="00842B3E">
        <w:rPr>
          <w:rFonts w:cstheme="minorHAnsi"/>
          <w:sz w:val="24"/>
          <w:szCs w:val="24"/>
        </w:rPr>
        <w:t xml:space="preserve"> </w:t>
      </w:r>
    </w:p>
    <w:p w:rsidR="0003048A" w:rsidRPr="00842B3E" w:rsidRDefault="0003048A" w:rsidP="002400B7">
      <w:pPr>
        <w:spacing w:line="276" w:lineRule="auto"/>
        <w:rPr>
          <w:rFonts w:cstheme="minorHAnsi"/>
          <w:sz w:val="24"/>
          <w:szCs w:val="24"/>
        </w:rPr>
      </w:pPr>
      <w:r w:rsidRPr="00842B3E">
        <w:rPr>
          <w:rFonts w:cstheme="minorHAnsi"/>
          <w:sz w:val="24"/>
          <w:szCs w:val="24"/>
        </w:rPr>
        <w:t xml:space="preserve">Audyt przeprowadziła Wydziałowa Komisja ds. Oceny Jakości Kształcenia w składzie: </w:t>
      </w:r>
    </w:p>
    <w:p w:rsidR="0003048A" w:rsidRPr="00842B3E" w:rsidRDefault="0003048A" w:rsidP="002400B7">
      <w:pPr>
        <w:spacing w:line="276" w:lineRule="auto"/>
        <w:rPr>
          <w:rFonts w:cstheme="minorHAnsi"/>
          <w:sz w:val="24"/>
          <w:szCs w:val="24"/>
        </w:rPr>
      </w:pPr>
      <w:r w:rsidRPr="00842B3E">
        <w:rPr>
          <w:rFonts w:cstheme="minorHAnsi"/>
          <w:sz w:val="24"/>
          <w:szCs w:val="24"/>
        </w:rPr>
        <w:t>dr Joanna Janik-Komar – przewodnicząca</w:t>
      </w:r>
    </w:p>
    <w:p w:rsidR="0003048A" w:rsidRPr="00842B3E" w:rsidRDefault="0003048A" w:rsidP="002400B7">
      <w:pPr>
        <w:spacing w:line="276" w:lineRule="auto"/>
        <w:rPr>
          <w:rFonts w:cstheme="minorHAnsi"/>
          <w:sz w:val="24"/>
          <w:szCs w:val="24"/>
        </w:rPr>
      </w:pPr>
      <w:r w:rsidRPr="00842B3E">
        <w:rPr>
          <w:rFonts w:cstheme="minorHAnsi"/>
          <w:sz w:val="24"/>
          <w:szCs w:val="24"/>
        </w:rPr>
        <w:t>dr hab. Marek Białokur, prof. UO</w:t>
      </w:r>
    </w:p>
    <w:p w:rsidR="0003048A" w:rsidRPr="00842B3E" w:rsidRDefault="0003048A" w:rsidP="002400B7">
      <w:pPr>
        <w:spacing w:line="276" w:lineRule="auto"/>
        <w:rPr>
          <w:rFonts w:cstheme="minorHAnsi"/>
          <w:sz w:val="24"/>
          <w:szCs w:val="24"/>
        </w:rPr>
      </w:pPr>
      <w:r w:rsidRPr="00842B3E">
        <w:rPr>
          <w:rFonts w:cstheme="minorHAnsi"/>
          <w:sz w:val="24"/>
          <w:szCs w:val="24"/>
        </w:rPr>
        <w:t xml:space="preserve">dr Iwona </w:t>
      </w:r>
      <w:proofErr w:type="spellStart"/>
      <w:r w:rsidRPr="00842B3E">
        <w:rPr>
          <w:rFonts w:cstheme="minorHAnsi"/>
          <w:sz w:val="24"/>
          <w:szCs w:val="24"/>
        </w:rPr>
        <w:t>Sobieraj</w:t>
      </w:r>
      <w:proofErr w:type="spellEnd"/>
      <w:r w:rsidRPr="00842B3E">
        <w:rPr>
          <w:rFonts w:cstheme="minorHAnsi"/>
          <w:sz w:val="24"/>
          <w:szCs w:val="24"/>
        </w:rPr>
        <w:t xml:space="preserve"> </w:t>
      </w:r>
    </w:p>
    <w:p w:rsidR="0003048A" w:rsidRPr="00842B3E" w:rsidRDefault="0003048A" w:rsidP="002400B7">
      <w:pPr>
        <w:spacing w:line="276" w:lineRule="auto"/>
        <w:rPr>
          <w:rFonts w:cstheme="minorHAnsi"/>
          <w:sz w:val="24"/>
          <w:szCs w:val="24"/>
        </w:rPr>
      </w:pPr>
      <w:r w:rsidRPr="00842B3E">
        <w:rPr>
          <w:rFonts w:cstheme="minorHAnsi"/>
          <w:sz w:val="24"/>
          <w:szCs w:val="24"/>
        </w:rPr>
        <w:t xml:space="preserve">dr Weronika Kurcz </w:t>
      </w:r>
    </w:p>
    <w:p w:rsidR="0003048A" w:rsidRPr="00842B3E" w:rsidRDefault="0003048A" w:rsidP="002400B7">
      <w:pPr>
        <w:spacing w:line="276" w:lineRule="auto"/>
        <w:rPr>
          <w:rFonts w:cstheme="minorHAnsi"/>
          <w:sz w:val="24"/>
          <w:szCs w:val="24"/>
        </w:rPr>
      </w:pPr>
      <w:r w:rsidRPr="00842B3E">
        <w:rPr>
          <w:rFonts w:cstheme="minorHAnsi"/>
          <w:sz w:val="24"/>
          <w:szCs w:val="24"/>
        </w:rPr>
        <w:t>dr Monika Stawiarska-</w:t>
      </w:r>
      <w:proofErr w:type="spellStart"/>
      <w:r w:rsidRPr="00842B3E">
        <w:rPr>
          <w:rFonts w:cstheme="minorHAnsi"/>
          <w:sz w:val="24"/>
          <w:szCs w:val="24"/>
        </w:rPr>
        <w:t>Lietzau</w:t>
      </w:r>
      <w:proofErr w:type="spellEnd"/>
      <w:r w:rsidRPr="00842B3E">
        <w:rPr>
          <w:rFonts w:cstheme="minorHAnsi"/>
          <w:sz w:val="24"/>
          <w:szCs w:val="24"/>
        </w:rPr>
        <w:t xml:space="preserve"> </w:t>
      </w:r>
    </w:p>
    <w:p w:rsidR="0003048A" w:rsidRPr="00842B3E" w:rsidRDefault="0003048A" w:rsidP="002400B7">
      <w:pPr>
        <w:spacing w:line="276" w:lineRule="auto"/>
        <w:rPr>
          <w:rFonts w:cstheme="minorHAnsi"/>
          <w:sz w:val="24"/>
          <w:szCs w:val="24"/>
        </w:rPr>
      </w:pPr>
      <w:r w:rsidRPr="00842B3E">
        <w:rPr>
          <w:rFonts w:cstheme="minorHAnsi"/>
          <w:sz w:val="24"/>
          <w:szCs w:val="24"/>
        </w:rPr>
        <w:t xml:space="preserve">dr Andrzej </w:t>
      </w:r>
      <w:proofErr w:type="spellStart"/>
      <w:r w:rsidRPr="00842B3E">
        <w:rPr>
          <w:rFonts w:cstheme="minorHAnsi"/>
          <w:sz w:val="24"/>
          <w:szCs w:val="24"/>
        </w:rPr>
        <w:t>Mamroł</w:t>
      </w:r>
      <w:proofErr w:type="spellEnd"/>
    </w:p>
    <w:p w:rsidR="0003048A" w:rsidRPr="00842B3E" w:rsidRDefault="0003048A" w:rsidP="002400B7">
      <w:pPr>
        <w:spacing w:line="276" w:lineRule="auto"/>
        <w:rPr>
          <w:rFonts w:cstheme="minorHAnsi"/>
          <w:sz w:val="24"/>
          <w:szCs w:val="24"/>
        </w:rPr>
      </w:pPr>
      <w:r w:rsidRPr="00842B3E">
        <w:rPr>
          <w:rFonts w:cstheme="minorHAnsi"/>
          <w:sz w:val="24"/>
          <w:szCs w:val="24"/>
        </w:rPr>
        <w:t xml:space="preserve">dr Mariusz </w:t>
      </w:r>
      <w:proofErr w:type="spellStart"/>
      <w:r w:rsidRPr="00842B3E">
        <w:rPr>
          <w:rFonts w:cstheme="minorHAnsi"/>
          <w:sz w:val="24"/>
          <w:szCs w:val="24"/>
        </w:rPr>
        <w:t>Pucia</w:t>
      </w:r>
      <w:proofErr w:type="spellEnd"/>
      <w:r w:rsidRPr="00842B3E">
        <w:rPr>
          <w:rFonts w:cstheme="minorHAnsi"/>
          <w:sz w:val="24"/>
          <w:szCs w:val="24"/>
        </w:rPr>
        <w:t xml:space="preserve"> </w:t>
      </w:r>
    </w:p>
    <w:p w:rsidR="0003048A" w:rsidRPr="00842B3E" w:rsidRDefault="0003048A" w:rsidP="002400B7">
      <w:pPr>
        <w:spacing w:line="276" w:lineRule="auto"/>
        <w:rPr>
          <w:rFonts w:cstheme="minorHAnsi"/>
          <w:sz w:val="24"/>
          <w:szCs w:val="24"/>
        </w:rPr>
      </w:pPr>
      <w:r w:rsidRPr="00842B3E">
        <w:rPr>
          <w:rFonts w:cstheme="minorHAnsi"/>
          <w:sz w:val="24"/>
          <w:szCs w:val="24"/>
        </w:rPr>
        <w:t xml:space="preserve">Nikola </w:t>
      </w:r>
      <w:proofErr w:type="spellStart"/>
      <w:r w:rsidRPr="00842B3E">
        <w:rPr>
          <w:rFonts w:cstheme="minorHAnsi"/>
          <w:sz w:val="24"/>
          <w:szCs w:val="24"/>
        </w:rPr>
        <w:t>Barowska</w:t>
      </w:r>
      <w:proofErr w:type="spellEnd"/>
      <w:r w:rsidRPr="00842B3E">
        <w:rPr>
          <w:rFonts w:cstheme="minorHAnsi"/>
          <w:sz w:val="24"/>
          <w:szCs w:val="24"/>
        </w:rPr>
        <w:t xml:space="preserve"> – studentka</w:t>
      </w:r>
    </w:p>
    <w:p w:rsidR="0003048A" w:rsidRDefault="0003048A" w:rsidP="002400B7">
      <w:pPr>
        <w:spacing w:line="276" w:lineRule="auto"/>
        <w:rPr>
          <w:rFonts w:cstheme="minorHAnsi"/>
          <w:sz w:val="24"/>
          <w:szCs w:val="24"/>
        </w:rPr>
      </w:pPr>
    </w:p>
    <w:p w:rsidR="002400B7" w:rsidRDefault="002400B7" w:rsidP="002400B7">
      <w:pPr>
        <w:spacing w:line="276" w:lineRule="auto"/>
        <w:rPr>
          <w:rFonts w:cstheme="minorHAnsi"/>
          <w:sz w:val="24"/>
          <w:szCs w:val="24"/>
        </w:rPr>
      </w:pPr>
    </w:p>
    <w:p w:rsidR="002400B7" w:rsidRDefault="002400B7" w:rsidP="002400B7">
      <w:pPr>
        <w:spacing w:line="276" w:lineRule="auto"/>
        <w:rPr>
          <w:rFonts w:cstheme="minorHAnsi"/>
          <w:sz w:val="24"/>
          <w:szCs w:val="24"/>
        </w:rPr>
      </w:pPr>
    </w:p>
    <w:p w:rsidR="002400B7" w:rsidRPr="00842B3E" w:rsidRDefault="002400B7" w:rsidP="002400B7">
      <w:pPr>
        <w:spacing w:line="276" w:lineRule="auto"/>
        <w:rPr>
          <w:rFonts w:cstheme="minorHAnsi"/>
          <w:sz w:val="24"/>
          <w:szCs w:val="24"/>
        </w:rPr>
      </w:pPr>
    </w:p>
    <w:p w:rsidR="0003048A" w:rsidRPr="00842B3E" w:rsidRDefault="0003048A" w:rsidP="002400B7">
      <w:pPr>
        <w:spacing w:line="276" w:lineRule="auto"/>
        <w:rPr>
          <w:rFonts w:cstheme="minorHAnsi"/>
          <w:sz w:val="24"/>
          <w:szCs w:val="24"/>
        </w:rPr>
      </w:pPr>
    </w:p>
    <w:p w:rsidR="002400B7" w:rsidRDefault="0003048A" w:rsidP="002400B7">
      <w:pPr>
        <w:tabs>
          <w:tab w:val="left" w:pos="540"/>
        </w:tabs>
        <w:spacing w:after="200" w:line="276" w:lineRule="auto"/>
        <w:jc w:val="center"/>
        <w:rPr>
          <w:rFonts w:eastAsia="Times New Roman" w:cstheme="minorHAnsi"/>
          <w:b/>
          <w:sz w:val="28"/>
          <w:szCs w:val="28"/>
          <w:lang w:eastAsia="pl-PL"/>
        </w:rPr>
      </w:pPr>
      <w:r w:rsidRPr="002400B7">
        <w:rPr>
          <w:rFonts w:eastAsia="Times New Roman" w:cstheme="minorHAnsi"/>
          <w:b/>
          <w:sz w:val="28"/>
          <w:szCs w:val="28"/>
          <w:lang w:eastAsia="pl-PL"/>
        </w:rPr>
        <w:lastRenderedPageBreak/>
        <w:t xml:space="preserve">Protokół </w:t>
      </w:r>
    </w:p>
    <w:p w:rsidR="0003048A" w:rsidRPr="002400B7" w:rsidRDefault="0003048A" w:rsidP="002400B7">
      <w:pPr>
        <w:tabs>
          <w:tab w:val="left" w:pos="540"/>
        </w:tabs>
        <w:spacing w:after="200" w:line="276" w:lineRule="auto"/>
        <w:jc w:val="center"/>
        <w:rPr>
          <w:rFonts w:eastAsia="Times New Roman" w:cstheme="minorHAnsi"/>
          <w:b/>
          <w:sz w:val="28"/>
          <w:szCs w:val="28"/>
          <w:lang w:eastAsia="pl-PL"/>
        </w:rPr>
      </w:pPr>
      <w:r w:rsidRPr="002400B7">
        <w:rPr>
          <w:rFonts w:eastAsia="Times New Roman" w:cstheme="minorHAnsi"/>
          <w:b/>
          <w:sz w:val="28"/>
          <w:szCs w:val="28"/>
          <w:lang w:eastAsia="pl-PL"/>
        </w:rPr>
        <w:t>z przeprowadzonego audytu wewnętrznego doskonalenia jakości kształcenia</w:t>
      </w:r>
    </w:p>
    <w:p w:rsidR="0003048A" w:rsidRPr="002400B7" w:rsidRDefault="0003048A" w:rsidP="002400B7">
      <w:pPr>
        <w:spacing w:after="0" w:line="276" w:lineRule="auto"/>
        <w:jc w:val="center"/>
        <w:rPr>
          <w:rFonts w:eastAsia="Times New Roman" w:cstheme="minorHAnsi"/>
          <w:b/>
          <w:sz w:val="28"/>
          <w:szCs w:val="28"/>
          <w:lang w:eastAsia="pl-PL"/>
        </w:rPr>
      </w:pPr>
      <w:r w:rsidRPr="002400B7">
        <w:rPr>
          <w:rFonts w:eastAsia="Times New Roman" w:cstheme="minorHAnsi"/>
          <w:b/>
          <w:sz w:val="28"/>
          <w:szCs w:val="28"/>
          <w:lang w:eastAsia="pl-PL"/>
        </w:rPr>
        <w:t>Wydział Nauk Społecznych</w:t>
      </w:r>
    </w:p>
    <w:p w:rsidR="0003048A" w:rsidRPr="002400B7" w:rsidRDefault="0003048A" w:rsidP="002400B7">
      <w:pPr>
        <w:spacing w:after="0" w:line="276" w:lineRule="auto"/>
        <w:jc w:val="center"/>
        <w:rPr>
          <w:rFonts w:eastAsia="Times New Roman" w:cstheme="minorHAnsi"/>
          <w:b/>
          <w:sz w:val="28"/>
          <w:szCs w:val="28"/>
          <w:lang w:eastAsia="pl-PL"/>
        </w:rPr>
      </w:pPr>
      <w:r w:rsidRPr="002400B7">
        <w:rPr>
          <w:rFonts w:eastAsia="Times New Roman" w:cstheme="minorHAnsi"/>
          <w:b/>
          <w:sz w:val="28"/>
          <w:szCs w:val="28"/>
          <w:lang w:eastAsia="pl-PL"/>
        </w:rPr>
        <w:t>Rok akademicki 2023/2024</w:t>
      </w:r>
    </w:p>
    <w:p w:rsidR="0003048A" w:rsidRPr="00842B3E" w:rsidRDefault="0003048A" w:rsidP="002400B7">
      <w:pPr>
        <w:spacing w:after="200" w:line="276" w:lineRule="auto"/>
        <w:jc w:val="both"/>
        <w:rPr>
          <w:rFonts w:eastAsia="Times New Roman" w:cstheme="minorHAnsi"/>
          <w:color w:val="002060"/>
          <w:sz w:val="24"/>
          <w:szCs w:val="24"/>
          <w:lang w:eastAsia="pl-PL"/>
        </w:rPr>
      </w:pPr>
    </w:p>
    <w:tbl>
      <w:tblPr>
        <w:tblStyle w:val="Tabela-Siatka2"/>
        <w:tblW w:w="0" w:type="auto"/>
        <w:tblLook w:val="04A0" w:firstRow="1" w:lastRow="0" w:firstColumn="1" w:lastColumn="0" w:noHBand="0" w:noVBand="1"/>
      </w:tblPr>
      <w:tblGrid>
        <w:gridCol w:w="9062"/>
      </w:tblGrid>
      <w:tr w:rsidR="0003048A" w:rsidRPr="00842B3E" w:rsidTr="00C4078F">
        <w:trPr>
          <w:trHeight w:val="494"/>
        </w:trPr>
        <w:tc>
          <w:tcPr>
            <w:tcW w:w="9062" w:type="dxa"/>
          </w:tcPr>
          <w:p w:rsidR="0003048A" w:rsidRPr="00842B3E" w:rsidRDefault="0003048A" w:rsidP="002400B7">
            <w:pPr>
              <w:numPr>
                <w:ilvl w:val="0"/>
                <w:numId w:val="1"/>
              </w:numPr>
              <w:spacing w:line="276" w:lineRule="auto"/>
              <w:jc w:val="both"/>
              <w:rPr>
                <w:rFonts w:cstheme="minorHAnsi"/>
                <w:color w:val="002060"/>
                <w:sz w:val="24"/>
                <w:szCs w:val="24"/>
              </w:rPr>
            </w:pPr>
            <w:r w:rsidRPr="00842B3E">
              <w:rPr>
                <w:rFonts w:cstheme="minorHAnsi"/>
                <w:color w:val="002060"/>
                <w:sz w:val="24"/>
                <w:szCs w:val="24"/>
              </w:rPr>
              <w:t>Krótka analiza sprawozdania z realizacji systemu doskonalenia jakości kształcenia</w:t>
            </w:r>
          </w:p>
        </w:tc>
      </w:tr>
      <w:tr w:rsidR="0003048A" w:rsidRPr="00842B3E" w:rsidTr="00C4078F">
        <w:tc>
          <w:tcPr>
            <w:tcW w:w="9062" w:type="dxa"/>
          </w:tcPr>
          <w:p w:rsidR="0003048A" w:rsidRPr="00842B3E" w:rsidRDefault="0003048A" w:rsidP="002400B7">
            <w:pPr>
              <w:spacing w:line="276" w:lineRule="auto"/>
              <w:jc w:val="both"/>
              <w:rPr>
                <w:sz w:val="24"/>
                <w:szCs w:val="24"/>
              </w:rPr>
            </w:pPr>
          </w:p>
          <w:p w:rsidR="00344CA0" w:rsidRPr="00842B3E" w:rsidRDefault="0003048A" w:rsidP="00D45A2C">
            <w:pPr>
              <w:spacing w:line="276" w:lineRule="auto"/>
              <w:jc w:val="both"/>
              <w:rPr>
                <w:sz w:val="24"/>
                <w:szCs w:val="24"/>
              </w:rPr>
            </w:pPr>
            <w:r w:rsidRPr="00842B3E">
              <w:rPr>
                <w:sz w:val="24"/>
                <w:szCs w:val="24"/>
              </w:rPr>
              <w:t xml:space="preserve"> Sprawozdanie z realizacji Systemu Doskonalenia Jakości Kształcenia (SDJK) na Wydziale Nauk Społecznych Uniwersytetu Opolskiego w roku akademickim 2023/2024 obejmuje </w:t>
            </w:r>
            <w:r w:rsidR="00344CA0" w:rsidRPr="00842B3E">
              <w:rPr>
                <w:sz w:val="24"/>
                <w:szCs w:val="24"/>
              </w:rPr>
              <w:t>siedem obszarów:</w:t>
            </w:r>
          </w:p>
          <w:p w:rsidR="00344CA0" w:rsidRPr="00842B3E" w:rsidRDefault="00344CA0" w:rsidP="00D45A2C">
            <w:pPr>
              <w:numPr>
                <w:ilvl w:val="0"/>
                <w:numId w:val="9"/>
              </w:numPr>
              <w:spacing w:line="276" w:lineRule="auto"/>
              <w:ind w:left="457" w:hanging="457"/>
              <w:jc w:val="both"/>
              <w:rPr>
                <w:sz w:val="24"/>
                <w:szCs w:val="24"/>
              </w:rPr>
            </w:pPr>
            <w:r w:rsidRPr="00842B3E">
              <w:rPr>
                <w:sz w:val="24"/>
                <w:szCs w:val="24"/>
              </w:rPr>
              <w:t>Dydaktyka</w:t>
            </w:r>
          </w:p>
          <w:p w:rsidR="00344CA0" w:rsidRPr="00842B3E" w:rsidRDefault="00344CA0" w:rsidP="00D45A2C">
            <w:pPr>
              <w:numPr>
                <w:ilvl w:val="0"/>
                <w:numId w:val="9"/>
              </w:numPr>
              <w:spacing w:line="276" w:lineRule="auto"/>
              <w:ind w:left="457" w:hanging="457"/>
              <w:jc w:val="both"/>
              <w:rPr>
                <w:sz w:val="24"/>
                <w:szCs w:val="24"/>
              </w:rPr>
            </w:pPr>
            <w:r w:rsidRPr="00842B3E">
              <w:rPr>
                <w:sz w:val="24"/>
                <w:szCs w:val="24"/>
              </w:rPr>
              <w:t>Sprawy studenckie, w tym absolwenci</w:t>
            </w:r>
          </w:p>
          <w:p w:rsidR="00344CA0" w:rsidRPr="00842B3E" w:rsidRDefault="00344CA0" w:rsidP="00D45A2C">
            <w:pPr>
              <w:numPr>
                <w:ilvl w:val="0"/>
                <w:numId w:val="9"/>
              </w:numPr>
              <w:spacing w:line="276" w:lineRule="auto"/>
              <w:ind w:left="457" w:hanging="457"/>
              <w:jc w:val="both"/>
              <w:rPr>
                <w:sz w:val="24"/>
                <w:szCs w:val="24"/>
              </w:rPr>
            </w:pPr>
            <w:r w:rsidRPr="00842B3E">
              <w:rPr>
                <w:sz w:val="24"/>
                <w:szCs w:val="24"/>
              </w:rPr>
              <w:t>Internacjonalizacja procesu kształcenia (w tym dobre praktyki)</w:t>
            </w:r>
          </w:p>
          <w:p w:rsidR="00344CA0" w:rsidRPr="00842B3E" w:rsidRDefault="00344CA0" w:rsidP="00D45A2C">
            <w:pPr>
              <w:numPr>
                <w:ilvl w:val="0"/>
                <w:numId w:val="9"/>
              </w:numPr>
              <w:spacing w:line="276" w:lineRule="auto"/>
              <w:ind w:left="457" w:hanging="457"/>
              <w:jc w:val="both"/>
              <w:rPr>
                <w:sz w:val="24"/>
                <w:szCs w:val="24"/>
              </w:rPr>
            </w:pPr>
            <w:r w:rsidRPr="00842B3E">
              <w:rPr>
                <w:sz w:val="24"/>
                <w:szCs w:val="24"/>
              </w:rPr>
              <w:t>Doskonalenia infrastruktury dydaktycznej  (w tym dobre praktyki)</w:t>
            </w:r>
          </w:p>
          <w:p w:rsidR="00344CA0" w:rsidRPr="00842B3E" w:rsidRDefault="00344CA0" w:rsidP="00D45A2C">
            <w:pPr>
              <w:numPr>
                <w:ilvl w:val="0"/>
                <w:numId w:val="9"/>
              </w:numPr>
              <w:spacing w:line="276" w:lineRule="auto"/>
              <w:ind w:left="457" w:hanging="457"/>
              <w:jc w:val="both"/>
              <w:rPr>
                <w:sz w:val="24"/>
                <w:szCs w:val="24"/>
              </w:rPr>
            </w:pPr>
            <w:r w:rsidRPr="00842B3E">
              <w:rPr>
                <w:sz w:val="24"/>
                <w:szCs w:val="24"/>
              </w:rPr>
              <w:t>Podnoszenia kompetencji dydaktycznych kadry akademickiej (w tym dobre praktyki)</w:t>
            </w:r>
          </w:p>
          <w:p w:rsidR="00344CA0" w:rsidRPr="00842B3E" w:rsidRDefault="00344CA0" w:rsidP="00D45A2C">
            <w:pPr>
              <w:numPr>
                <w:ilvl w:val="0"/>
                <w:numId w:val="9"/>
              </w:numPr>
              <w:spacing w:line="276" w:lineRule="auto"/>
              <w:ind w:left="457" w:hanging="457"/>
              <w:jc w:val="both"/>
              <w:rPr>
                <w:sz w:val="24"/>
                <w:szCs w:val="24"/>
              </w:rPr>
            </w:pPr>
            <w:r w:rsidRPr="00842B3E">
              <w:rPr>
                <w:sz w:val="24"/>
                <w:szCs w:val="24"/>
              </w:rPr>
              <w:t>Współpraca z otoczeniem  (w tym dobre praktyki)</w:t>
            </w:r>
          </w:p>
          <w:p w:rsidR="002400B7" w:rsidRDefault="00344CA0" w:rsidP="00D45A2C">
            <w:pPr>
              <w:numPr>
                <w:ilvl w:val="0"/>
                <w:numId w:val="9"/>
              </w:numPr>
              <w:spacing w:line="276" w:lineRule="auto"/>
              <w:ind w:left="457" w:hanging="457"/>
              <w:jc w:val="both"/>
              <w:rPr>
                <w:sz w:val="24"/>
                <w:szCs w:val="24"/>
              </w:rPr>
            </w:pPr>
            <w:r w:rsidRPr="002400B7">
              <w:rPr>
                <w:sz w:val="24"/>
                <w:szCs w:val="24"/>
              </w:rPr>
              <w:t>Inne obszary (w tym dobre praktyki)</w:t>
            </w:r>
          </w:p>
          <w:p w:rsidR="002400B7" w:rsidRDefault="002400B7" w:rsidP="002400B7">
            <w:pPr>
              <w:spacing w:line="276" w:lineRule="auto"/>
              <w:jc w:val="both"/>
              <w:rPr>
                <w:sz w:val="24"/>
                <w:szCs w:val="24"/>
              </w:rPr>
            </w:pPr>
          </w:p>
          <w:p w:rsidR="00344CA0" w:rsidRPr="002400B7" w:rsidRDefault="00842B3E" w:rsidP="002400B7">
            <w:pPr>
              <w:spacing w:line="276" w:lineRule="auto"/>
              <w:jc w:val="both"/>
              <w:rPr>
                <w:sz w:val="24"/>
                <w:szCs w:val="24"/>
              </w:rPr>
            </w:pPr>
            <w:r w:rsidRPr="002400B7">
              <w:rPr>
                <w:sz w:val="24"/>
                <w:szCs w:val="24"/>
              </w:rPr>
              <w:t xml:space="preserve">              </w:t>
            </w:r>
            <w:r w:rsidR="0003048A" w:rsidRPr="002400B7">
              <w:rPr>
                <w:sz w:val="24"/>
                <w:szCs w:val="24"/>
              </w:rPr>
              <w:t>Działania dydaktyczne koncentrowały się na modernizacji programów studiów, wprowadzeniu nowych kierunków i ujednoliceniu harmonogramów za</w:t>
            </w:r>
            <w:r w:rsidR="00344CA0" w:rsidRPr="002400B7">
              <w:rPr>
                <w:sz w:val="24"/>
                <w:szCs w:val="24"/>
              </w:rPr>
              <w:t xml:space="preserve">jęć. </w:t>
            </w:r>
            <w:r w:rsidR="00344CA0" w:rsidRPr="002400B7">
              <w:rPr>
                <w:rFonts w:eastAsiaTheme="minorEastAsia"/>
                <w:sz w:val="24"/>
                <w:szCs w:val="24"/>
              </w:rPr>
              <w:t>W zakresie dydaktyki na bieżąco monitorowane są i uaktualniane programy studiów, procedury dyplomowania i organizacja praktyk, pod względem merytorycznym (dostosowywanie przedmiotów do potrzeb i zmieniających się warunków społeczno-gospodarczych, unowocześnienie treści i aktualizacja literatury, zmiany w zakresie efektów kształcenia) i pragmatycznym (np. dostosowanie liczby godzin do możliwości kadrowych i organizacyjnych).</w:t>
            </w:r>
          </w:p>
          <w:p w:rsidR="00344CA0" w:rsidRPr="00842B3E" w:rsidRDefault="00344CA0" w:rsidP="002400B7">
            <w:pPr>
              <w:spacing w:line="276" w:lineRule="auto"/>
              <w:jc w:val="both"/>
              <w:rPr>
                <w:sz w:val="24"/>
                <w:szCs w:val="24"/>
              </w:rPr>
            </w:pPr>
            <w:r w:rsidRPr="00842B3E">
              <w:rPr>
                <w:sz w:val="24"/>
                <w:szCs w:val="24"/>
              </w:rPr>
              <w:t>Kluczowe zmiany wprowadzono na kierunkach:</w:t>
            </w:r>
          </w:p>
          <w:p w:rsidR="00344CA0" w:rsidRPr="00842B3E" w:rsidRDefault="0003048A" w:rsidP="002400B7">
            <w:pPr>
              <w:pStyle w:val="Akapitzlist"/>
              <w:numPr>
                <w:ilvl w:val="0"/>
                <w:numId w:val="10"/>
              </w:numPr>
              <w:spacing w:line="276" w:lineRule="auto"/>
              <w:jc w:val="both"/>
              <w:rPr>
                <w:sz w:val="24"/>
                <w:szCs w:val="24"/>
              </w:rPr>
            </w:pPr>
            <w:r w:rsidRPr="00842B3E">
              <w:rPr>
                <w:sz w:val="24"/>
                <w:szCs w:val="24"/>
              </w:rPr>
              <w:t xml:space="preserve">Praca socjalna – aktualizacja programów studiów oraz zmiana instrukcji dotyczących praktyk zawodowych. Wprowadzono możliwość zaliczania praktyki na podstawie doświadczenia zawodowego, co ułatwiło studentom łączenie nauki z pracą. </w:t>
            </w:r>
          </w:p>
          <w:p w:rsidR="00344CA0" w:rsidRPr="00842B3E" w:rsidRDefault="0003048A" w:rsidP="002400B7">
            <w:pPr>
              <w:pStyle w:val="Akapitzlist"/>
              <w:numPr>
                <w:ilvl w:val="0"/>
                <w:numId w:val="10"/>
              </w:numPr>
              <w:spacing w:line="276" w:lineRule="auto"/>
              <w:jc w:val="both"/>
              <w:rPr>
                <w:sz w:val="24"/>
                <w:szCs w:val="24"/>
              </w:rPr>
            </w:pPr>
            <w:r w:rsidRPr="00842B3E">
              <w:rPr>
                <w:sz w:val="24"/>
                <w:szCs w:val="24"/>
              </w:rPr>
              <w:t xml:space="preserve">Socjologia i Design i Komunikacja Społeczna – optymalizacja godzin dydaktycznych oraz synchronizacja efektów kształcenia. Nowe standardy pozwoliły zmniejszyć koszty realizacji studiów i obciążenie kadry akademickiej. </w:t>
            </w:r>
          </w:p>
          <w:p w:rsidR="00344CA0" w:rsidRPr="00842B3E" w:rsidRDefault="0003048A" w:rsidP="002400B7">
            <w:pPr>
              <w:pStyle w:val="Akapitzlist"/>
              <w:numPr>
                <w:ilvl w:val="0"/>
                <w:numId w:val="10"/>
              </w:numPr>
              <w:spacing w:line="276" w:lineRule="auto"/>
              <w:jc w:val="both"/>
              <w:rPr>
                <w:sz w:val="24"/>
                <w:szCs w:val="24"/>
              </w:rPr>
            </w:pPr>
            <w:r w:rsidRPr="00842B3E">
              <w:rPr>
                <w:sz w:val="24"/>
                <w:szCs w:val="24"/>
              </w:rPr>
              <w:t xml:space="preserve">Pedagogika specjalna – uwzględnienie potrzeb placówek współpracujących oraz wprowadzenie specjalizacji dotyczącej edukacji i terapii osób z autyzmem. </w:t>
            </w:r>
          </w:p>
          <w:p w:rsidR="00344CA0" w:rsidRPr="00842B3E" w:rsidRDefault="0003048A" w:rsidP="002400B7">
            <w:pPr>
              <w:pStyle w:val="Akapitzlist"/>
              <w:numPr>
                <w:ilvl w:val="0"/>
                <w:numId w:val="10"/>
              </w:numPr>
              <w:spacing w:line="276" w:lineRule="auto"/>
              <w:jc w:val="both"/>
              <w:rPr>
                <w:sz w:val="24"/>
                <w:szCs w:val="24"/>
              </w:rPr>
            </w:pPr>
            <w:r w:rsidRPr="00842B3E">
              <w:rPr>
                <w:sz w:val="24"/>
                <w:szCs w:val="24"/>
              </w:rPr>
              <w:t xml:space="preserve">Historia i </w:t>
            </w:r>
            <w:proofErr w:type="spellStart"/>
            <w:r w:rsidRPr="00842B3E">
              <w:rPr>
                <w:sz w:val="24"/>
                <w:szCs w:val="24"/>
              </w:rPr>
              <w:t>HiT</w:t>
            </w:r>
            <w:proofErr w:type="spellEnd"/>
            <w:r w:rsidRPr="00842B3E">
              <w:rPr>
                <w:sz w:val="24"/>
                <w:szCs w:val="24"/>
              </w:rPr>
              <w:t xml:space="preserve"> 40+ – zorganizowano innowacyjne projekty badawcze i dydaktyczne, jak archeologiczne badania terenowe oraz zajęcia z wykorzystaniem platformy YouTube. </w:t>
            </w:r>
          </w:p>
          <w:p w:rsidR="00AD2390" w:rsidRPr="00842B3E" w:rsidRDefault="00842B3E" w:rsidP="002400B7">
            <w:pPr>
              <w:spacing w:line="276" w:lineRule="auto"/>
              <w:jc w:val="both"/>
              <w:rPr>
                <w:sz w:val="24"/>
                <w:szCs w:val="24"/>
              </w:rPr>
            </w:pPr>
            <w:r w:rsidRPr="00842B3E">
              <w:rPr>
                <w:sz w:val="24"/>
                <w:szCs w:val="24"/>
              </w:rPr>
              <w:lastRenderedPageBreak/>
              <w:t xml:space="preserve">             </w:t>
            </w:r>
            <w:r w:rsidR="00AD2390" w:rsidRPr="00842B3E">
              <w:rPr>
                <w:sz w:val="24"/>
                <w:szCs w:val="24"/>
              </w:rPr>
              <w:t>Studenci mają możliwość poszerzania swojej wiedz</w:t>
            </w:r>
            <w:r w:rsidR="00E15BC3" w:rsidRPr="00842B3E">
              <w:rPr>
                <w:sz w:val="24"/>
                <w:szCs w:val="24"/>
              </w:rPr>
              <w:t xml:space="preserve">y i kompetencji zawodowych </w:t>
            </w:r>
            <w:r w:rsidR="00AD2390" w:rsidRPr="00842B3E">
              <w:rPr>
                <w:sz w:val="24"/>
                <w:szCs w:val="24"/>
              </w:rPr>
              <w:t xml:space="preserve"> w oparciu o zajęcia terenowe, prowadzone w różnych instytucjach (np. szkoły, przedszkola</w:t>
            </w:r>
            <w:r w:rsidRPr="00842B3E">
              <w:rPr>
                <w:sz w:val="24"/>
                <w:szCs w:val="24"/>
              </w:rPr>
              <w:t>, DPS-y</w:t>
            </w:r>
            <w:r w:rsidR="00AD2390" w:rsidRPr="00842B3E">
              <w:rPr>
                <w:sz w:val="24"/>
                <w:szCs w:val="24"/>
              </w:rPr>
              <w:t xml:space="preserve">), a także przez specjalistów-praktyków, udział w warsztatach, szkoleniach, wystawach, konferencjach naukowych. Duże znaczenie w rozwoju studentów pełnią także koła naukowe, które angażują studentów w działalność naukowo-badawczą, a także organizują wiele możliwości zdobywania dodatkowych kompetencji i doświadczeń poprzez warsztaty, szkolenia, wykłady, działania terenowe, wyjazdy, itp. </w:t>
            </w:r>
          </w:p>
          <w:p w:rsidR="00E15BC3" w:rsidRPr="00842B3E" w:rsidRDefault="00AD2390" w:rsidP="002400B7">
            <w:pPr>
              <w:spacing w:line="276" w:lineRule="auto"/>
              <w:jc w:val="both"/>
              <w:rPr>
                <w:sz w:val="24"/>
                <w:szCs w:val="24"/>
              </w:rPr>
            </w:pPr>
            <w:r w:rsidRPr="00842B3E">
              <w:rPr>
                <w:sz w:val="24"/>
                <w:szCs w:val="24"/>
              </w:rPr>
              <w:t xml:space="preserve">W ramach kształcenia studentów podejmowane są także działania związane z umiędzynarodowieniem edukacji – udział w programach wymiany studenckiej Erasmus, </w:t>
            </w:r>
            <w:proofErr w:type="spellStart"/>
            <w:r w:rsidRPr="00842B3E">
              <w:rPr>
                <w:sz w:val="24"/>
                <w:szCs w:val="24"/>
              </w:rPr>
              <w:t>Forthem</w:t>
            </w:r>
            <w:proofErr w:type="spellEnd"/>
            <w:r w:rsidRPr="00842B3E">
              <w:rPr>
                <w:sz w:val="24"/>
                <w:szCs w:val="24"/>
              </w:rPr>
              <w:t xml:space="preserve">, zajęcia prowadzone w języku angielskim, wykłady prowadzone przez </w:t>
            </w:r>
            <w:proofErr w:type="spellStart"/>
            <w:r w:rsidRPr="00842B3E">
              <w:rPr>
                <w:sz w:val="24"/>
                <w:szCs w:val="24"/>
              </w:rPr>
              <w:t>visiting</w:t>
            </w:r>
            <w:proofErr w:type="spellEnd"/>
            <w:r w:rsidRPr="00842B3E">
              <w:rPr>
                <w:sz w:val="24"/>
                <w:szCs w:val="24"/>
              </w:rPr>
              <w:t xml:space="preserve"> </w:t>
            </w:r>
            <w:proofErr w:type="spellStart"/>
            <w:r w:rsidRPr="00842B3E">
              <w:rPr>
                <w:sz w:val="24"/>
                <w:szCs w:val="24"/>
              </w:rPr>
              <w:t>professors</w:t>
            </w:r>
            <w:proofErr w:type="spellEnd"/>
            <w:r w:rsidRPr="00842B3E">
              <w:rPr>
                <w:sz w:val="24"/>
                <w:szCs w:val="24"/>
              </w:rPr>
              <w:t xml:space="preserve"> z ośrodków zagranicznych.</w:t>
            </w:r>
          </w:p>
          <w:p w:rsidR="00E15BC3" w:rsidRPr="00842B3E" w:rsidRDefault="0003048A" w:rsidP="002400B7">
            <w:pPr>
              <w:spacing w:line="276" w:lineRule="auto"/>
              <w:jc w:val="both"/>
              <w:rPr>
                <w:sz w:val="24"/>
                <w:szCs w:val="24"/>
              </w:rPr>
            </w:pPr>
            <w:r w:rsidRPr="00842B3E">
              <w:rPr>
                <w:sz w:val="24"/>
                <w:szCs w:val="24"/>
              </w:rPr>
              <w:t xml:space="preserve">Każdy z Instytutów działał w oparciu o swoje specyficzne potrzeby dydaktyczne i badawcze. Ważne inicjatywy obejmowały: Instytut Psychologii – realizacja grantu „Laboratorium szczęścia”, organizacja certyfikowanych warsztatów, a także współpraca z instytucjami zewnętrznymi. Katedra Nauk Socjologicznych – intensyfikacja zajęć terenowych i wizyt studyjnych oraz wprowadzenie praktyków w proces dydaktyczny. Instytut Pedagogiki – nacisk na rozwój praktyk pedagogicznych, zorganizowanie nowej infrastruktury metodycznej i terapeutycznej. </w:t>
            </w:r>
          </w:p>
          <w:p w:rsidR="005F7B2E" w:rsidRPr="00842B3E" w:rsidRDefault="005F7B2E" w:rsidP="002400B7">
            <w:pPr>
              <w:spacing w:line="276" w:lineRule="auto"/>
              <w:jc w:val="both"/>
              <w:rPr>
                <w:sz w:val="24"/>
                <w:szCs w:val="24"/>
              </w:rPr>
            </w:pPr>
            <w:r w:rsidRPr="00842B3E">
              <w:rPr>
                <w:sz w:val="24"/>
                <w:szCs w:val="24"/>
              </w:rPr>
              <w:t>Z myślą o studentach z niepełnosprawnościami  dostosowano proces dydaktyczny do ich potrzeb (wydłużenie czasu trwania egzaminów, kolokwiów o 30%, dostosowanie czcionki w arkuszach egzaminacyjnych i zaliczeniowych i możliwość zmiany egzaminów z formy pisemnej na ustną).</w:t>
            </w:r>
          </w:p>
          <w:p w:rsidR="00E15BC3" w:rsidRPr="00842B3E" w:rsidRDefault="00842B3E" w:rsidP="002400B7">
            <w:pPr>
              <w:spacing w:line="276" w:lineRule="auto"/>
              <w:jc w:val="both"/>
              <w:rPr>
                <w:sz w:val="24"/>
                <w:szCs w:val="24"/>
              </w:rPr>
            </w:pPr>
            <w:r w:rsidRPr="00842B3E">
              <w:rPr>
                <w:sz w:val="24"/>
                <w:szCs w:val="24"/>
              </w:rPr>
              <w:t xml:space="preserve">                </w:t>
            </w:r>
            <w:r w:rsidR="0003048A" w:rsidRPr="00842B3E">
              <w:rPr>
                <w:sz w:val="24"/>
                <w:szCs w:val="24"/>
              </w:rPr>
              <w:t xml:space="preserve">W ramach działań </w:t>
            </w:r>
            <w:proofErr w:type="spellStart"/>
            <w:r w:rsidR="0003048A" w:rsidRPr="00842B3E">
              <w:rPr>
                <w:sz w:val="24"/>
                <w:szCs w:val="24"/>
              </w:rPr>
              <w:t>internacjonalizacyjnych</w:t>
            </w:r>
            <w:proofErr w:type="spellEnd"/>
            <w:r w:rsidR="0003048A" w:rsidRPr="00842B3E">
              <w:rPr>
                <w:sz w:val="24"/>
                <w:szCs w:val="24"/>
              </w:rPr>
              <w:t xml:space="preserve"> kluczową rolę odegrały programy Erasmus+ oraz sojusz FORTHEM. Studenci uczestniczyli w międzynarodowych szkołach letnich, a pracownicy korzystali z wymian i szkoleń zagranicznych. Na kierunkach prowadzono również zajęcia w językach obcych, co poszerzyło ofertę edukacyjną i przyciągnęło studentów z zagranicy.</w:t>
            </w:r>
          </w:p>
          <w:p w:rsidR="00842B3E" w:rsidRPr="00842B3E" w:rsidRDefault="00842B3E" w:rsidP="002400B7">
            <w:pPr>
              <w:spacing w:line="276" w:lineRule="auto"/>
              <w:jc w:val="both"/>
              <w:rPr>
                <w:sz w:val="24"/>
                <w:szCs w:val="24"/>
              </w:rPr>
            </w:pPr>
            <w:r w:rsidRPr="00842B3E">
              <w:rPr>
                <w:sz w:val="24"/>
                <w:szCs w:val="24"/>
              </w:rPr>
              <w:t xml:space="preserve">                </w:t>
            </w:r>
            <w:r w:rsidR="0003048A" w:rsidRPr="00842B3E">
              <w:rPr>
                <w:sz w:val="24"/>
                <w:szCs w:val="24"/>
              </w:rPr>
              <w:t xml:space="preserve">Zmodernizowana infrastruktura dydaktyczna na Wydziale Nauk Społecznych obejmowała: </w:t>
            </w:r>
          </w:p>
          <w:p w:rsidR="00EE6155" w:rsidRPr="00842B3E" w:rsidRDefault="0003048A" w:rsidP="00D45A2C">
            <w:pPr>
              <w:pStyle w:val="Akapitzlist"/>
              <w:numPr>
                <w:ilvl w:val="0"/>
                <w:numId w:val="17"/>
              </w:numPr>
              <w:spacing w:line="276" w:lineRule="auto"/>
              <w:ind w:left="316" w:hanging="316"/>
              <w:jc w:val="both"/>
              <w:rPr>
                <w:sz w:val="24"/>
                <w:szCs w:val="24"/>
              </w:rPr>
            </w:pPr>
            <w:r w:rsidRPr="00842B3E">
              <w:rPr>
                <w:sz w:val="24"/>
                <w:szCs w:val="24"/>
              </w:rPr>
              <w:t xml:space="preserve">Przekształcenie </w:t>
            </w:r>
            <w:proofErr w:type="spellStart"/>
            <w:r w:rsidRPr="00842B3E">
              <w:rPr>
                <w:sz w:val="24"/>
                <w:szCs w:val="24"/>
              </w:rPr>
              <w:t>sal</w:t>
            </w:r>
            <w:proofErr w:type="spellEnd"/>
            <w:r w:rsidRPr="00842B3E">
              <w:rPr>
                <w:sz w:val="24"/>
                <w:szCs w:val="24"/>
              </w:rPr>
              <w:t xml:space="preserve"> w Collegium Civitas, umożliwiające elastyczne ustawienie mebli, co wspiera pracę warsztatową. </w:t>
            </w:r>
          </w:p>
          <w:p w:rsidR="00EE6155" w:rsidRPr="00842B3E" w:rsidRDefault="0003048A" w:rsidP="00D45A2C">
            <w:pPr>
              <w:pStyle w:val="Akapitzlist"/>
              <w:numPr>
                <w:ilvl w:val="0"/>
                <w:numId w:val="11"/>
              </w:numPr>
              <w:spacing w:line="276" w:lineRule="auto"/>
              <w:ind w:left="316" w:hanging="316"/>
              <w:jc w:val="both"/>
              <w:rPr>
                <w:sz w:val="24"/>
                <w:szCs w:val="24"/>
              </w:rPr>
            </w:pPr>
            <w:r w:rsidRPr="00842B3E">
              <w:rPr>
                <w:sz w:val="24"/>
                <w:szCs w:val="24"/>
              </w:rPr>
              <w:t xml:space="preserve">Dostosowanie </w:t>
            </w:r>
            <w:proofErr w:type="spellStart"/>
            <w:r w:rsidRPr="00842B3E">
              <w:rPr>
                <w:sz w:val="24"/>
                <w:szCs w:val="24"/>
              </w:rPr>
              <w:t>sal</w:t>
            </w:r>
            <w:proofErr w:type="spellEnd"/>
            <w:r w:rsidRPr="00842B3E">
              <w:rPr>
                <w:sz w:val="24"/>
                <w:szCs w:val="24"/>
              </w:rPr>
              <w:t xml:space="preserve"> do pracy z nowoczesnym oprogramowaniem i zakup sprzętu wspierającego zajęcia techniczne, jak kamery i projektory. </w:t>
            </w:r>
          </w:p>
          <w:p w:rsidR="00EE6155" w:rsidRPr="00842B3E" w:rsidRDefault="0003048A" w:rsidP="00D45A2C">
            <w:pPr>
              <w:pStyle w:val="Akapitzlist"/>
              <w:numPr>
                <w:ilvl w:val="0"/>
                <w:numId w:val="11"/>
              </w:numPr>
              <w:spacing w:line="276" w:lineRule="auto"/>
              <w:ind w:left="316" w:hanging="316"/>
              <w:jc w:val="both"/>
              <w:rPr>
                <w:sz w:val="24"/>
                <w:szCs w:val="24"/>
              </w:rPr>
            </w:pPr>
            <w:r w:rsidRPr="00842B3E">
              <w:rPr>
                <w:sz w:val="24"/>
                <w:szCs w:val="24"/>
              </w:rPr>
              <w:t>Powstanie nowych laboratoriów psychologicznych wyposażonych w specjalistyczne stanowiska komputerowe.</w:t>
            </w:r>
          </w:p>
          <w:p w:rsidR="00EE6155" w:rsidRPr="00842B3E" w:rsidRDefault="00842B3E" w:rsidP="002400B7">
            <w:pPr>
              <w:spacing w:line="276" w:lineRule="auto"/>
              <w:jc w:val="both"/>
              <w:rPr>
                <w:sz w:val="24"/>
                <w:szCs w:val="24"/>
              </w:rPr>
            </w:pPr>
            <w:r w:rsidRPr="00842B3E">
              <w:rPr>
                <w:sz w:val="24"/>
                <w:szCs w:val="24"/>
              </w:rPr>
              <w:t xml:space="preserve">                 </w:t>
            </w:r>
            <w:r w:rsidR="00EE6155" w:rsidRPr="00842B3E">
              <w:rPr>
                <w:sz w:val="24"/>
                <w:szCs w:val="24"/>
              </w:rPr>
              <w:t>Pracownicy podnoszą swoje kwalifikacje uczestnicząc w kursach i podejmując studia podyplomowe. U</w:t>
            </w:r>
            <w:r w:rsidR="0003048A" w:rsidRPr="00842B3E">
              <w:rPr>
                <w:sz w:val="24"/>
                <w:szCs w:val="24"/>
              </w:rPr>
              <w:t xml:space="preserve">czestniczyli w licznych szkoleniach i webinariach, co pozwoliło na rozwój ich kompetencji dydaktycznych i badawczych. Kluczowe obszary obejmowały: Nowoczesne metody dydaktyczne, takie jak design </w:t>
            </w:r>
            <w:proofErr w:type="spellStart"/>
            <w:r w:rsidR="0003048A" w:rsidRPr="00842B3E">
              <w:rPr>
                <w:sz w:val="24"/>
                <w:szCs w:val="24"/>
              </w:rPr>
              <w:t>thinking</w:t>
            </w:r>
            <w:proofErr w:type="spellEnd"/>
            <w:r w:rsidR="0003048A" w:rsidRPr="00842B3E">
              <w:rPr>
                <w:sz w:val="24"/>
                <w:szCs w:val="24"/>
              </w:rPr>
              <w:t xml:space="preserve"> i praca zespołowa. Kompetencje badawcze w zakresie analizy danych, wykorzystania AI oraz pisania wniosków grantowych</w:t>
            </w:r>
            <w:r w:rsidR="00EE6155" w:rsidRPr="00842B3E">
              <w:rPr>
                <w:sz w:val="24"/>
                <w:szCs w:val="24"/>
              </w:rPr>
              <w:t xml:space="preserve">. Procesy dydaktyczne są systematycznie monitorowane poprzez hospitacje pracowników, a </w:t>
            </w:r>
            <w:r w:rsidR="00EE6155" w:rsidRPr="00842B3E">
              <w:rPr>
                <w:sz w:val="24"/>
                <w:szCs w:val="24"/>
              </w:rPr>
              <w:lastRenderedPageBreak/>
              <w:t xml:space="preserve">wysokie oceny ich działalności wskazują na dobre przygotowanie do zajęć i zadowalające kompetencje dydaktyczne. </w:t>
            </w:r>
          </w:p>
          <w:p w:rsidR="00EE6155" w:rsidRPr="00842B3E" w:rsidRDefault="00842B3E" w:rsidP="002400B7">
            <w:pPr>
              <w:spacing w:line="276" w:lineRule="auto"/>
              <w:jc w:val="both"/>
              <w:rPr>
                <w:sz w:val="24"/>
                <w:szCs w:val="24"/>
              </w:rPr>
            </w:pPr>
            <w:r w:rsidRPr="00842B3E">
              <w:rPr>
                <w:sz w:val="24"/>
                <w:szCs w:val="24"/>
              </w:rPr>
              <w:t xml:space="preserve">                </w:t>
            </w:r>
            <w:r w:rsidR="0003048A" w:rsidRPr="00842B3E">
              <w:rPr>
                <w:sz w:val="24"/>
                <w:szCs w:val="24"/>
              </w:rPr>
              <w:t xml:space="preserve">Katedry i Instytuty kontynuowały </w:t>
            </w:r>
            <w:r w:rsidR="005F7B2E" w:rsidRPr="00842B3E">
              <w:rPr>
                <w:sz w:val="24"/>
                <w:szCs w:val="24"/>
              </w:rPr>
              <w:t xml:space="preserve">i rozwijały </w:t>
            </w:r>
            <w:r w:rsidR="0003048A" w:rsidRPr="00842B3E">
              <w:rPr>
                <w:sz w:val="24"/>
                <w:szCs w:val="24"/>
              </w:rPr>
              <w:t>współpracę z lokalnymi i krajowymi podmiotami, organizując warsztaty, praktyki oraz wydarzenia naukowe</w:t>
            </w:r>
            <w:r w:rsidR="005F7B2E" w:rsidRPr="00842B3E">
              <w:rPr>
                <w:sz w:val="24"/>
                <w:szCs w:val="24"/>
              </w:rPr>
              <w:t xml:space="preserve"> i kulturalne</w:t>
            </w:r>
            <w:r w:rsidR="0003048A" w:rsidRPr="00842B3E">
              <w:rPr>
                <w:sz w:val="24"/>
                <w:szCs w:val="24"/>
              </w:rPr>
              <w:t xml:space="preserve">. Przykładem są działania na rzecz środowisk lokalnych, takie jak integracja w ramach projektów „Wiosna Kobiet” i festiwali kulturalnych. </w:t>
            </w:r>
          </w:p>
          <w:p w:rsidR="00EE6155" w:rsidRPr="00842B3E" w:rsidRDefault="00842B3E" w:rsidP="002400B7">
            <w:pPr>
              <w:spacing w:line="276" w:lineRule="auto"/>
              <w:jc w:val="both"/>
              <w:rPr>
                <w:sz w:val="24"/>
                <w:szCs w:val="24"/>
              </w:rPr>
            </w:pPr>
            <w:r w:rsidRPr="00842B3E">
              <w:rPr>
                <w:sz w:val="24"/>
                <w:szCs w:val="24"/>
              </w:rPr>
              <w:t xml:space="preserve">                </w:t>
            </w:r>
            <w:r w:rsidR="005F7B2E" w:rsidRPr="00842B3E">
              <w:rPr>
                <w:sz w:val="24"/>
                <w:szCs w:val="24"/>
              </w:rPr>
              <w:t>W „INNYCH OBSZARACH”  wskazano przeprowadzenie badań ankietowych wśród dydaktyków dotyczące jakości kształcenia, relacje z wydarzeń i życia studenckiego w mediach społecznościowych, społecznościowa tablica ogłoszeń i przestrzeń wymiany informacji oraz promocja działań w mediach (Radio Opole, TVP Opole</w:t>
            </w:r>
            <w:r w:rsidR="00885531" w:rsidRPr="00842B3E">
              <w:rPr>
                <w:sz w:val="24"/>
                <w:szCs w:val="24"/>
              </w:rPr>
              <w:t xml:space="preserve">, Polskie </w:t>
            </w:r>
            <w:proofErr w:type="spellStart"/>
            <w:r w:rsidR="00885531" w:rsidRPr="00842B3E">
              <w:rPr>
                <w:sz w:val="24"/>
                <w:szCs w:val="24"/>
              </w:rPr>
              <w:t>Radiao</w:t>
            </w:r>
            <w:proofErr w:type="spellEnd"/>
            <w:r w:rsidR="00885531" w:rsidRPr="00842B3E">
              <w:rPr>
                <w:sz w:val="24"/>
                <w:szCs w:val="24"/>
              </w:rPr>
              <w:t>).</w:t>
            </w:r>
          </w:p>
          <w:p w:rsidR="00842B3E" w:rsidRPr="00842B3E" w:rsidRDefault="00842B3E" w:rsidP="002400B7">
            <w:pPr>
              <w:spacing w:line="276" w:lineRule="auto"/>
              <w:jc w:val="both"/>
              <w:rPr>
                <w:sz w:val="24"/>
                <w:szCs w:val="24"/>
              </w:rPr>
            </w:pPr>
          </w:p>
          <w:p w:rsidR="0003048A" w:rsidRDefault="00EE6155" w:rsidP="002400B7">
            <w:pPr>
              <w:spacing w:line="276" w:lineRule="auto"/>
              <w:jc w:val="both"/>
              <w:rPr>
                <w:sz w:val="24"/>
                <w:szCs w:val="24"/>
              </w:rPr>
            </w:pPr>
            <w:r w:rsidRPr="00842B3E">
              <w:rPr>
                <w:sz w:val="24"/>
                <w:szCs w:val="24"/>
              </w:rPr>
              <w:t xml:space="preserve">Podsumowując - </w:t>
            </w:r>
            <w:r w:rsidR="0003048A" w:rsidRPr="00842B3E">
              <w:rPr>
                <w:sz w:val="24"/>
                <w:szCs w:val="24"/>
              </w:rPr>
              <w:t xml:space="preserve">działania podjęte w ramach SDJK przyniosły znaczące efekty w podniesieniu jakości kształcenia na Wydziale Nauk Społecznych UO. Wskazane inicjatywy wspierają nie tylko rozwój dydaktyczny, ale także społeczne zaangażowanie studentów </w:t>
            </w:r>
            <w:r w:rsidR="00842B3E">
              <w:rPr>
                <w:sz w:val="24"/>
                <w:szCs w:val="24"/>
              </w:rPr>
              <w:br/>
            </w:r>
            <w:r w:rsidR="0003048A" w:rsidRPr="00842B3E">
              <w:rPr>
                <w:sz w:val="24"/>
                <w:szCs w:val="24"/>
              </w:rPr>
              <w:t xml:space="preserve">i pracowników. </w:t>
            </w:r>
          </w:p>
          <w:p w:rsidR="002400B7" w:rsidRPr="00842B3E" w:rsidRDefault="002400B7" w:rsidP="002400B7">
            <w:pPr>
              <w:spacing w:line="276" w:lineRule="auto"/>
              <w:jc w:val="both"/>
              <w:rPr>
                <w:rFonts w:cstheme="minorHAnsi"/>
                <w:sz w:val="24"/>
                <w:szCs w:val="24"/>
              </w:rPr>
            </w:pPr>
          </w:p>
        </w:tc>
      </w:tr>
      <w:tr w:rsidR="0003048A" w:rsidRPr="00842B3E" w:rsidTr="00C4078F">
        <w:tc>
          <w:tcPr>
            <w:tcW w:w="9062" w:type="dxa"/>
          </w:tcPr>
          <w:p w:rsidR="0003048A" w:rsidRPr="00842B3E" w:rsidRDefault="0003048A" w:rsidP="002400B7">
            <w:pPr>
              <w:numPr>
                <w:ilvl w:val="0"/>
                <w:numId w:val="1"/>
              </w:numPr>
              <w:spacing w:line="276" w:lineRule="auto"/>
              <w:jc w:val="both"/>
              <w:rPr>
                <w:rFonts w:cstheme="minorHAnsi"/>
                <w:color w:val="002060"/>
                <w:sz w:val="24"/>
                <w:szCs w:val="24"/>
              </w:rPr>
            </w:pPr>
            <w:r w:rsidRPr="00842B3E">
              <w:rPr>
                <w:rFonts w:cstheme="minorHAnsi"/>
                <w:color w:val="002060"/>
                <w:sz w:val="24"/>
                <w:szCs w:val="24"/>
              </w:rPr>
              <w:lastRenderedPageBreak/>
              <w:t>Rekomendacje dotyczące zagadnień omawianych w sprawozdaniu</w:t>
            </w:r>
          </w:p>
          <w:p w:rsidR="0003048A" w:rsidRPr="00842B3E" w:rsidRDefault="0003048A" w:rsidP="002400B7">
            <w:pPr>
              <w:spacing w:line="276" w:lineRule="auto"/>
              <w:jc w:val="both"/>
              <w:rPr>
                <w:rFonts w:eastAsia="Calibri" w:cstheme="minorHAnsi"/>
                <w:color w:val="002060"/>
                <w:sz w:val="24"/>
                <w:szCs w:val="24"/>
              </w:rPr>
            </w:pPr>
          </w:p>
        </w:tc>
      </w:tr>
      <w:tr w:rsidR="0003048A" w:rsidRPr="00842B3E" w:rsidTr="00C4078F">
        <w:tc>
          <w:tcPr>
            <w:tcW w:w="9062" w:type="dxa"/>
          </w:tcPr>
          <w:p w:rsidR="002400B7" w:rsidRPr="002400B7" w:rsidRDefault="002400B7" w:rsidP="002400B7">
            <w:pPr>
              <w:spacing w:line="276" w:lineRule="auto"/>
              <w:jc w:val="both"/>
              <w:rPr>
                <w:rFonts w:cstheme="minorHAnsi"/>
                <w:sz w:val="24"/>
                <w:szCs w:val="24"/>
              </w:rPr>
            </w:pPr>
          </w:p>
          <w:p w:rsidR="00885531" w:rsidRPr="00842B3E" w:rsidRDefault="00885531" w:rsidP="002400B7">
            <w:pPr>
              <w:pStyle w:val="Akapitzlist"/>
              <w:numPr>
                <w:ilvl w:val="0"/>
                <w:numId w:val="13"/>
              </w:numPr>
              <w:spacing w:line="276" w:lineRule="auto"/>
              <w:jc w:val="both"/>
              <w:rPr>
                <w:rFonts w:cstheme="minorHAnsi"/>
                <w:sz w:val="24"/>
                <w:szCs w:val="24"/>
              </w:rPr>
            </w:pPr>
            <w:r w:rsidRPr="00842B3E">
              <w:rPr>
                <w:sz w:val="24"/>
                <w:szCs w:val="24"/>
              </w:rPr>
              <w:t>Optymalizacja procesu dydaktycznego</w:t>
            </w:r>
            <w:r w:rsidRPr="00842B3E">
              <w:rPr>
                <w:rFonts w:cstheme="minorHAnsi"/>
                <w:sz w:val="24"/>
                <w:szCs w:val="24"/>
              </w:rPr>
              <w:t xml:space="preserve"> i </w:t>
            </w:r>
            <w:r w:rsidRPr="00842B3E">
              <w:rPr>
                <w:sz w:val="24"/>
                <w:szCs w:val="24"/>
              </w:rPr>
              <w:t>efektywniejsze włączania kadry akademickiej w procesy badawcze i organizacyjne.</w:t>
            </w:r>
          </w:p>
          <w:p w:rsidR="00745782" w:rsidRPr="00842B3E" w:rsidRDefault="00745782" w:rsidP="002400B7">
            <w:pPr>
              <w:pStyle w:val="Akapitzlist"/>
              <w:numPr>
                <w:ilvl w:val="0"/>
                <w:numId w:val="13"/>
              </w:numPr>
              <w:spacing w:line="276" w:lineRule="auto"/>
              <w:jc w:val="both"/>
              <w:rPr>
                <w:rFonts w:cstheme="minorHAnsi"/>
                <w:sz w:val="24"/>
                <w:szCs w:val="24"/>
              </w:rPr>
            </w:pPr>
            <w:r w:rsidRPr="00842B3E">
              <w:rPr>
                <w:sz w:val="24"/>
                <w:szCs w:val="24"/>
              </w:rPr>
              <w:t>Wspieranie pracowników w podnoszeniu kwalifikacji  i kompetencji zawodowych</w:t>
            </w:r>
          </w:p>
          <w:p w:rsidR="00885531" w:rsidRPr="00842B3E" w:rsidRDefault="00885531" w:rsidP="002400B7">
            <w:pPr>
              <w:pStyle w:val="Akapitzlist"/>
              <w:numPr>
                <w:ilvl w:val="0"/>
                <w:numId w:val="13"/>
              </w:numPr>
              <w:spacing w:line="276" w:lineRule="auto"/>
              <w:jc w:val="both"/>
              <w:rPr>
                <w:rFonts w:cstheme="minorHAnsi"/>
                <w:sz w:val="24"/>
                <w:szCs w:val="24"/>
              </w:rPr>
            </w:pPr>
            <w:r w:rsidRPr="00842B3E">
              <w:rPr>
                <w:rFonts w:cstheme="minorHAnsi"/>
                <w:sz w:val="24"/>
                <w:szCs w:val="24"/>
              </w:rPr>
              <w:t>Zwiększenie działalności w zakresie umiędzynarodowienia studentów</w:t>
            </w:r>
            <w:r w:rsidR="00DC69BF" w:rsidRPr="00842B3E">
              <w:rPr>
                <w:rFonts w:cstheme="minorHAnsi"/>
                <w:sz w:val="24"/>
                <w:szCs w:val="24"/>
              </w:rPr>
              <w:t xml:space="preserve"> </w:t>
            </w:r>
            <w:r w:rsidR="00842B3E">
              <w:rPr>
                <w:rFonts w:cstheme="minorHAnsi"/>
                <w:sz w:val="24"/>
                <w:szCs w:val="24"/>
              </w:rPr>
              <w:br/>
            </w:r>
            <w:r w:rsidR="00DC69BF" w:rsidRPr="00842B3E">
              <w:rPr>
                <w:rFonts w:cstheme="minorHAnsi"/>
                <w:sz w:val="24"/>
                <w:szCs w:val="24"/>
              </w:rPr>
              <w:t>i pracowników</w:t>
            </w:r>
            <w:r w:rsidRPr="00842B3E">
              <w:rPr>
                <w:rFonts w:cstheme="minorHAnsi"/>
                <w:sz w:val="24"/>
                <w:szCs w:val="24"/>
              </w:rPr>
              <w:t xml:space="preserve"> –</w:t>
            </w:r>
            <w:r w:rsidR="00DC69BF" w:rsidRPr="00842B3E">
              <w:rPr>
                <w:rFonts w:cstheme="minorHAnsi"/>
                <w:sz w:val="24"/>
                <w:szCs w:val="24"/>
              </w:rPr>
              <w:t xml:space="preserve"> Rozszerzenie udzia</w:t>
            </w:r>
            <w:r w:rsidR="00DC69BF" w:rsidRPr="00842B3E">
              <w:rPr>
                <w:rFonts w:ascii="Calibri" w:hAnsi="Calibri" w:cs="Calibri"/>
                <w:sz w:val="24"/>
                <w:szCs w:val="24"/>
              </w:rPr>
              <w:t>ł</w:t>
            </w:r>
            <w:r w:rsidR="00DC69BF" w:rsidRPr="00842B3E">
              <w:rPr>
                <w:rFonts w:cstheme="minorHAnsi"/>
                <w:sz w:val="24"/>
                <w:szCs w:val="24"/>
              </w:rPr>
              <w:t>u student</w:t>
            </w:r>
            <w:r w:rsidR="00DC69BF" w:rsidRPr="00842B3E">
              <w:rPr>
                <w:rFonts w:ascii="Calibri" w:hAnsi="Calibri" w:cs="Calibri"/>
                <w:sz w:val="24"/>
                <w:szCs w:val="24"/>
              </w:rPr>
              <w:t>ó</w:t>
            </w:r>
            <w:r w:rsidR="00DC69BF" w:rsidRPr="00842B3E">
              <w:rPr>
                <w:rFonts w:cstheme="minorHAnsi"/>
                <w:sz w:val="24"/>
                <w:szCs w:val="24"/>
              </w:rPr>
              <w:t>w i pracownik</w:t>
            </w:r>
            <w:r w:rsidR="00DC69BF" w:rsidRPr="00842B3E">
              <w:rPr>
                <w:rFonts w:ascii="Calibri" w:hAnsi="Calibri" w:cs="Calibri"/>
                <w:sz w:val="24"/>
                <w:szCs w:val="24"/>
              </w:rPr>
              <w:t>ó</w:t>
            </w:r>
            <w:r w:rsidR="00DC69BF" w:rsidRPr="00842B3E">
              <w:rPr>
                <w:rFonts w:cstheme="minorHAnsi"/>
                <w:sz w:val="24"/>
                <w:szCs w:val="24"/>
              </w:rPr>
              <w:t>w w programach Erasmus+ oraz innych  międzynarodowych inicjatywach, takich jak FORTHEM. Warto również zorganizować wymiany wirtualne, umożliwiające studentom uczestnictwo w międzynarodowych projektach bez konieczności wyjazdu.</w:t>
            </w:r>
          </w:p>
          <w:p w:rsidR="00DC69BF" w:rsidRPr="00842B3E" w:rsidRDefault="00885531" w:rsidP="002400B7">
            <w:pPr>
              <w:pStyle w:val="Akapitzlist"/>
              <w:numPr>
                <w:ilvl w:val="0"/>
                <w:numId w:val="13"/>
              </w:numPr>
              <w:spacing w:line="276" w:lineRule="auto"/>
              <w:jc w:val="both"/>
              <w:rPr>
                <w:rFonts w:cstheme="minorHAnsi"/>
                <w:sz w:val="24"/>
                <w:szCs w:val="24"/>
              </w:rPr>
            </w:pPr>
            <w:r w:rsidRPr="00842B3E">
              <w:rPr>
                <w:rFonts w:cstheme="minorHAnsi"/>
                <w:sz w:val="24"/>
                <w:szCs w:val="24"/>
              </w:rPr>
              <w:t>Położenie większego nacisku na rozwój infrastruktury dydaktycznej</w:t>
            </w:r>
            <w:r w:rsidR="00DC69BF" w:rsidRPr="00842B3E">
              <w:rPr>
                <w:rFonts w:cstheme="minorHAnsi"/>
                <w:sz w:val="24"/>
                <w:szCs w:val="24"/>
              </w:rPr>
              <w:t xml:space="preserve"> - jeszcze lepsze dostosowanie </w:t>
            </w:r>
            <w:proofErr w:type="spellStart"/>
            <w:r w:rsidR="00DC69BF" w:rsidRPr="00842B3E">
              <w:rPr>
                <w:rFonts w:cstheme="minorHAnsi"/>
                <w:sz w:val="24"/>
                <w:szCs w:val="24"/>
              </w:rPr>
              <w:t>sal</w:t>
            </w:r>
            <w:proofErr w:type="spellEnd"/>
            <w:r w:rsidR="00DC69BF" w:rsidRPr="00842B3E">
              <w:rPr>
                <w:rFonts w:cstheme="minorHAnsi"/>
                <w:sz w:val="24"/>
                <w:szCs w:val="24"/>
              </w:rPr>
              <w:t xml:space="preserve"> dydaktycznych do potrzeb współczesnych metod nauczania, w tym zakup interaktywnych tablic, lepszego oprogramowania analitycznego oraz wyposażenia </w:t>
            </w:r>
            <w:proofErr w:type="spellStart"/>
            <w:r w:rsidR="00DC69BF" w:rsidRPr="00842B3E">
              <w:rPr>
                <w:rFonts w:cstheme="minorHAnsi"/>
                <w:sz w:val="24"/>
                <w:szCs w:val="24"/>
              </w:rPr>
              <w:t>sal</w:t>
            </w:r>
            <w:proofErr w:type="spellEnd"/>
            <w:r w:rsidR="00DC69BF" w:rsidRPr="00842B3E">
              <w:rPr>
                <w:rFonts w:cstheme="minorHAnsi"/>
                <w:sz w:val="24"/>
                <w:szCs w:val="24"/>
              </w:rPr>
              <w:t xml:space="preserve"> w sprzęt do zajęć warsztatowych. Należy też wzmocnić wsparcie techniczne dla działań studenckich, w tym związanych z realizacją projektów multimedialnych.</w:t>
            </w:r>
          </w:p>
          <w:p w:rsidR="00885531" w:rsidRPr="00842B3E" w:rsidRDefault="00DC69BF" w:rsidP="002400B7">
            <w:pPr>
              <w:pStyle w:val="Akapitzlist"/>
              <w:numPr>
                <w:ilvl w:val="0"/>
                <w:numId w:val="13"/>
              </w:numPr>
              <w:spacing w:line="276" w:lineRule="auto"/>
              <w:jc w:val="both"/>
              <w:rPr>
                <w:rFonts w:cstheme="minorHAnsi"/>
                <w:sz w:val="24"/>
                <w:szCs w:val="24"/>
              </w:rPr>
            </w:pPr>
            <w:r w:rsidRPr="00842B3E">
              <w:rPr>
                <w:rFonts w:cstheme="minorHAnsi"/>
                <w:sz w:val="24"/>
                <w:szCs w:val="24"/>
              </w:rPr>
              <w:t>Zorganizowanie przestrzeni przyjaznej</w:t>
            </w:r>
            <w:r w:rsidR="00885531" w:rsidRPr="00842B3E">
              <w:rPr>
                <w:rFonts w:cstheme="minorHAnsi"/>
                <w:sz w:val="24"/>
                <w:szCs w:val="24"/>
              </w:rPr>
              <w:t xml:space="preserve"> studentom i </w:t>
            </w:r>
            <w:r w:rsidRPr="00842B3E">
              <w:rPr>
                <w:rFonts w:cstheme="minorHAnsi"/>
                <w:sz w:val="24"/>
                <w:szCs w:val="24"/>
              </w:rPr>
              <w:t>pracownikom – strefa odpoczynku</w:t>
            </w:r>
          </w:p>
          <w:p w:rsidR="00885531" w:rsidRPr="00842B3E" w:rsidRDefault="00885531" w:rsidP="002400B7">
            <w:pPr>
              <w:pStyle w:val="Akapitzlist"/>
              <w:numPr>
                <w:ilvl w:val="0"/>
                <w:numId w:val="13"/>
              </w:numPr>
              <w:spacing w:line="276" w:lineRule="auto"/>
              <w:jc w:val="both"/>
              <w:rPr>
                <w:rFonts w:cstheme="minorHAnsi"/>
                <w:sz w:val="24"/>
                <w:szCs w:val="24"/>
              </w:rPr>
            </w:pPr>
            <w:r w:rsidRPr="00842B3E">
              <w:rPr>
                <w:rFonts w:cstheme="minorHAnsi"/>
                <w:sz w:val="24"/>
                <w:szCs w:val="24"/>
              </w:rPr>
              <w:t>Zwiększenie liczby projektów łączących różne kierunki studiów na wydziale, takich jak socjologia, pedagogika i historia, poprzez organizację wspólnych warsztatów, seminariów i zajęć terenowych. Projekty te mogą przyczynić się do rozwoju kompetencji współpracy między studentami różnych specjalności oraz pogłębienia ich wiedzy w praktycznym kontekście.</w:t>
            </w:r>
          </w:p>
          <w:p w:rsidR="005A5F3D" w:rsidRDefault="00885531" w:rsidP="002400B7">
            <w:pPr>
              <w:pStyle w:val="Akapitzlist"/>
              <w:numPr>
                <w:ilvl w:val="0"/>
                <w:numId w:val="13"/>
              </w:numPr>
              <w:spacing w:line="276" w:lineRule="auto"/>
              <w:jc w:val="both"/>
              <w:rPr>
                <w:rFonts w:cstheme="minorHAnsi"/>
                <w:sz w:val="24"/>
                <w:szCs w:val="24"/>
              </w:rPr>
            </w:pPr>
            <w:r w:rsidRPr="005A5F3D">
              <w:rPr>
                <w:rFonts w:cstheme="minorHAnsi"/>
                <w:sz w:val="24"/>
                <w:szCs w:val="24"/>
              </w:rPr>
              <w:lastRenderedPageBreak/>
              <w:t xml:space="preserve"> Intensyfikacja współpracy z muzeami, bibliotekami, teatrami oraz instytutami </w:t>
            </w:r>
            <w:r w:rsidR="00745782" w:rsidRPr="005A5F3D">
              <w:rPr>
                <w:rFonts w:cstheme="minorHAnsi"/>
                <w:sz w:val="24"/>
                <w:szCs w:val="24"/>
              </w:rPr>
              <w:t xml:space="preserve">edukacyjnymi i </w:t>
            </w:r>
            <w:r w:rsidRPr="005A5F3D">
              <w:rPr>
                <w:rFonts w:cstheme="minorHAnsi"/>
                <w:sz w:val="24"/>
                <w:szCs w:val="24"/>
              </w:rPr>
              <w:t xml:space="preserve">naukowymi Opola i województwa opolskiego, która będzie obejmowała m.in. organizację warsztatów, praktyk oraz wspólnych projektów badawczych. </w:t>
            </w:r>
          </w:p>
          <w:p w:rsidR="00DC69BF" w:rsidRPr="005A5F3D" w:rsidRDefault="00885531" w:rsidP="002400B7">
            <w:pPr>
              <w:pStyle w:val="Akapitzlist"/>
              <w:numPr>
                <w:ilvl w:val="0"/>
                <w:numId w:val="13"/>
              </w:numPr>
              <w:spacing w:line="276" w:lineRule="auto"/>
              <w:jc w:val="both"/>
              <w:rPr>
                <w:rFonts w:cstheme="minorHAnsi"/>
                <w:sz w:val="24"/>
                <w:szCs w:val="24"/>
              </w:rPr>
            </w:pPr>
            <w:r w:rsidRPr="005A5F3D">
              <w:rPr>
                <w:rFonts w:cstheme="minorHAnsi"/>
                <w:sz w:val="24"/>
                <w:szCs w:val="24"/>
              </w:rPr>
              <w:t>Wprowadzenie specjalnego programu adaptacyjnego dla student</w:t>
            </w:r>
            <w:r w:rsidRPr="005A5F3D">
              <w:rPr>
                <w:rFonts w:ascii="Calibri" w:hAnsi="Calibri" w:cs="Calibri"/>
                <w:sz w:val="24"/>
                <w:szCs w:val="24"/>
              </w:rPr>
              <w:t>ó</w:t>
            </w:r>
            <w:r w:rsidRPr="005A5F3D">
              <w:rPr>
                <w:rFonts w:cstheme="minorHAnsi"/>
                <w:sz w:val="24"/>
                <w:szCs w:val="24"/>
              </w:rPr>
              <w:t>w pierwszego roku, kt</w:t>
            </w:r>
            <w:r w:rsidRPr="005A5F3D">
              <w:rPr>
                <w:rFonts w:ascii="Calibri" w:hAnsi="Calibri" w:cs="Calibri"/>
                <w:sz w:val="24"/>
                <w:szCs w:val="24"/>
              </w:rPr>
              <w:t>ó</w:t>
            </w:r>
            <w:r w:rsidRPr="005A5F3D">
              <w:rPr>
                <w:rFonts w:cstheme="minorHAnsi"/>
                <w:sz w:val="24"/>
                <w:szCs w:val="24"/>
              </w:rPr>
              <w:t>ry obejmowałby: warsztaty wprowadzające do specyfiki studiowania oraz historii uczelni wyższych ze szczególnym uwzględnieniem UO (WSP), wykłady i wycieczki poświęcone historii miasta Opola i regionu, spotkania integracyjne z udziałem starszych roczników, którzy mogą pełnić rolę mentorów.</w:t>
            </w:r>
          </w:p>
          <w:p w:rsidR="00DC69BF" w:rsidRPr="00842B3E" w:rsidRDefault="00885531" w:rsidP="002400B7">
            <w:pPr>
              <w:pStyle w:val="Akapitzlist"/>
              <w:numPr>
                <w:ilvl w:val="0"/>
                <w:numId w:val="13"/>
              </w:numPr>
              <w:spacing w:line="276" w:lineRule="auto"/>
              <w:jc w:val="both"/>
              <w:rPr>
                <w:rFonts w:cstheme="minorHAnsi"/>
                <w:sz w:val="24"/>
                <w:szCs w:val="24"/>
              </w:rPr>
            </w:pPr>
            <w:r w:rsidRPr="00842B3E">
              <w:rPr>
                <w:rFonts w:cstheme="minorHAnsi"/>
                <w:sz w:val="24"/>
                <w:szCs w:val="24"/>
              </w:rPr>
              <w:t>Zintensyfikowanie dzia</w:t>
            </w:r>
            <w:r w:rsidRPr="00842B3E">
              <w:rPr>
                <w:rFonts w:ascii="Calibri" w:hAnsi="Calibri" w:cs="Calibri"/>
                <w:sz w:val="24"/>
                <w:szCs w:val="24"/>
              </w:rPr>
              <w:t>ł</w:t>
            </w:r>
            <w:r w:rsidRPr="00842B3E">
              <w:rPr>
                <w:rFonts w:cstheme="minorHAnsi"/>
                <w:sz w:val="24"/>
                <w:szCs w:val="24"/>
              </w:rPr>
              <w:t>a</w:t>
            </w:r>
            <w:r w:rsidRPr="00842B3E">
              <w:rPr>
                <w:rFonts w:ascii="Calibri" w:hAnsi="Calibri" w:cs="Calibri"/>
                <w:sz w:val="24"/>
                <w:szCs w:val="24"/>
              </w:rPr>
              <w:t>ń</w:t>
            </w:r>
            <w:r w:rsidRPr="00842B3E">
              <w:rPr>
                <w:rFonts w:cstheme="minorHAnsi"/>
                <w:sz w:val="24"/>
                <w:szCs w:val="24"/>
              </w:rPr>
              <w:t xml:space="preserve"> w mediach spo</w:t>
            </w:r>
            <w:r w:rsidRPr="00842B3E">
              <w:rPr>
                <w:rFonts w:ascii="Calibri" w:hAnsi="Calibri" w:cs="Calibri"/>
                <w:sz w:val="24"/>
                <w:szCs w:val="24"/>
              </w:rPr>
              <w:t>ł</w:t>
            </w:r>
            <w:r w:rsidRPr="00842B3E">
              <w:rPr>
                <w:rFonts w:cstheme="minorHAnsi"/>
                <w:sz w:val="24"/>
                <w:szCs w:val="24"/>
              </w:rPr>
              <w:t>eczno</w:t>
            </w:r>
            <w:r w:rsidRPr="00842B3E">
              <w:rPr>
                <w:rFonts w:ascii="Calibri" w:hAnsi="Calibri" w:cs="Calibri"/>
                <w:sz w:val="24"/>
                <w:szCs w:val="24"/>
              </w:rPr>
              <w:t>ś</w:t>
            </w:r>
            <w:r w:rsidRPr="00842B3E">
              <w:rPr>
                <w:rFonts w:cstheme="minorHAnsi"/>
                <w:sz w:val="24"/>
                <w:szCs w:val="24"/>
              </w:rPr>
              <w:t>ciowych oraz rozw</w:t>
            </w:r>
            <w:r w:rsidRPr="00842B3E">
              <w:rPr>
                <w:rFonts w:ascii="Calibri" w:hAnsi="Calibri" w:cs="Calibri"/>
                <w:sz w:val="24"/>
                <w:szCs w:val="24"/>
              </w:rPr>
              <w:t>ó</w:t>
            </w:r>
            <w:r w:rsidRPr="00842B3E">
              <w:rPr>
                <w:rFonts w:cstheme="minorHAnsi"/>
                <w:sz w:val="24"/>
                <w:szCs w:val="24"/>
              </w:rPr>
              <w:t xml:space="preserve">j multimedialnych zasobów dydaktycznych, takich jak podcasty, </w:t>
            </w:r>
            <w:proofErr w:type="spellStart"/>
            <w:r w:rsidRPr="00842B3E">
              <w:rPr>
                <w:rFonts w:cstheme="minorHAnsi"/>
                <w:sz w:val="24"/>
                <w:szCs w:val="24"/>
              </w:rPr>
              <w:t>wideow</w:t>
            </w:r>
            <w:r w:rsidR="00DC69BF" w:rsidRPr="00842B3E">
              <w:rPr>
                <w:rFonts w:cstheme="minorHAnsi"/>
                <w:sz w:val="24"/>
                <w:szCs w:val="24"/>
              </w:rPr>
              <w:t>ykłady</w:t>
            </w:r>
            <w:proofErr w:type="spellEnd"/>
            <w:r w:rsidR="00DC69BF" w:rsidRPr="00842B3E">
              <w:rPr>
                <w:rFonts w:cstheme="minorHAnsi"/>
                <w:sz w:val="24"/>
                <w:szCs w:val="24"/>
              </w:rPr>
              <w:t xml:space="preserve"> czy interaktywne kursy e-</w:t>
            </w:r>
            <w:r w:rsidRPr="00842B3E">
              <w:rPr>
                <w:rFonts w:cstheme="minorHAnsi"/>
                <w:sz w:val="24"/>
                <w:szCs w:val="24"/>
              </w:rPr>
              <w:t>learningowe. Warto również zaangażować studentów w tworzenie treści promocyjnych, takich jak filmy dokumentujące życie uczelni, projekty edukacyjne i wydarzenia.</w:t>
            </w:r>
          </w:p>
          <w:p w:rsidR="00DC69BF" w:rsidRPr="00842B3E" w:rsidRDefault="00885531" w:rsidP="002400B7">
            <w:pPr>
              <w:pStyle w:val="Akapitzlist"/>
              <w:numPr>
                <w:ilvl w:val="0"/>
                <w:numId w:val="13"/>
              </w:numPr>
              <w:spacing w:line="276" w:lineRule="auto"/>
              <w:jc w:val="both"/>
              <w:rPr>
                <w:rFonts w:cstheme="minorHAnsi"/>
                <w:sz w:val="24"/>
                <w:szCs w:val="24"/>
              </w:rPr>
            </w:pPr>
            <w:r w:rsidRPr="00842B3E">
              <w:rPr>
                <w:rFonts w:cstheme="minorHAnsi"/>
                <w:sz w:val="24"/>
                <w:szCs w:val="24"/>
              </w:rPr>
              <w:t>Poszerzenie oferty praktyk zawodowych oraz w</w:t>
            </w:r>
            <w:r w:rsidRPr="00842B3E">
              <w:rPr>
                <w:rFonts w:ascii="Calibri" w:hAnsi="Calibri" w:cs="Calibri"/>
                <w:sz w:val="24"/>
                <w:szCs w:val="24"/>
              </w:rPr>
              <w:t>łą</w:t>
            </w:r>
            <w:r w:rsidRPr="00842B3E">
              <w:rPr>
                <w:rFonts w:cstheme="minorHAnsi"/>
                <w:sz w:val="24"/>
                <w:szCs w:val="24"/>
              </w:rPr>
              <w:t>czenie praktyk</w:t>
            </w:r>
            <w:r w:rsidRPr="00842B3E">
              <w:rPr>
                <w:rFonts w:ascii="Calibri" w:hAnsi="Calibri" w:cs="Calibri"/>
                <w:sz w:val="24"/>
                <w:szCs w:val="24"/>
              </w:rPr>
              <w:t>ó</w:t>
            </w:r>
            <w:r w:rsidRPr="00842B3E">
              <w:rPr>
                <w:rFonts w:cstheme="minorHAnsi"/>
                <w:sz w:val="24"/>
                <w:szCs w:val="24"/>
              </w:rPr>
              <w:t>w zewn</w:t>
            </w:r>
            <w:r w:rsidRPr="00842B3E">
              <w:rPr>
                <w:rFonts w:ascii="Calibri" w:hAnsi="Calibri" w:cs="Calibri"/>
                <w:sz w:val="24"/>
                <w:szCs w:val="24"/>
              </w:rPr>
              <w:t>ę</w:t>
            </w:r>
            <w:r w:rsidRPr="00842B3E">
              <w:rPr>
                <w:rFonts w:cstheme="minorHAnsi"/>
                <w:sz w:val="24"/>
                <w:szCs w:val="24"/>
              </w:rPr>
              <w:t xml:space="preserve">trznych do prowadzenia zajęć. Zorganizowanie programów </w:t>
            </w:r>
            <w:proofErr w:type="spellStart"/>
            <w:r w:rsidRPr="00842B3E">
              <w:rPr>
                <w:rFonts w:cstheme="minorHAnsi"/>
                <w:sz w:val="24"/>
                <w:szCs w:val="24"/>
              </w:rPr>
              <w:t>mentoringowych</w:t>
            </w:r>
            <w:proofErr w:type="spellEnd"/>
            <w:r w:rsidRPr="00842B3E">
              <w:rPr>
                <w:rFonts w:cstheme="minorHAnsi"/>
                <w:sz w:val="24"/>
                <w:szCs w:val="24"/>
              </w:rPr>
              <w:t>, w których doświadczeni specjaliści wspierają studentów w przygotowaniu do pracy zawodowej. Dobrym pomysłem może być również utworzenie dodatkowych warsztatów z umiejętności (kompetencji)</w:t>
            </w:r>
            <w:r w:rsidR="00DC69BF" w:rsidRPr="00842B3E">
              <w:rPr>
                <w:rFonts w:cstheme="minorHAnsi"/>
                <w:sz w:val="24"/>
                <w:szCs w:val="24"/>
              </w:rPr>
              <w:t xml:space="preserve"> </w:t>
            </w:r>
            <w:r w:rsidRPr="00842B3E">
              <w:rPr>
                <w:rFonts w:cstheme="minorHAnsi"/>
                <w:sz w:val="24"/>
                <w:szCs w:val="24"/>
              </w:rPr>
              <w:t>miękkich i zawodowych.</w:t>
            </w:r>
          </w:p>
          <w:p w:rsidR="005A5F3D" w:rsidRPr="005A5F3D" w:rsidRDefault="00745782" w:rsidP="002400B7">
            <w:pPr>
              <w:pStyle w:val="Akapitzlist"/>
              <w:numPr>
                <w:ilvl w:val="0"/>
                <w:numId w:val="13"/>
              </w:numPr>
              <w:spacing w:line="276" w:lineRule="auto"/>
              <w:jc w:val="both"/>
              <w:rPr>
                <w:rFonts w:cstheme="minorHAnsi"/>
                <w:sz w:val="24"/>
                <w:szCs w:val="24"/>
              </w:rPr>
            </w:pPr>
            <w:r w:rsidRPr="00842B3E">
              <w:rPr>
                <w:rFonts w:cstheme="minorHAnsi"/>
                <w:sz w:val="24"/>
                <w:szCs w:val="24"/>
              </w:rPr>
              <w:t>Promocja kierunków wśród uczniów szkół średnich</w:t>
            </w:r>
            <w:r w:rsidR="005A5F3D">
              <w:rPr>
                <w:rFonts w:cstheme="minorHAnsi"/>
                <w:sz w:val="24"/>
                <w:szCs w:val="24"/>
              </w:rPr>
              <w:t>. W</w:t>
            </w:r>
            <w:r w:rsidR="005A5F3D" w:rsidRPr="005A5F3D">
              <w:rPr>
                <w:rFonts w:cstheme="minorHAnsi"/>
                <w:sz w:val="24"/>
                <w:szCs w:val="24"/>
              </w:rPr>
              <w:t>arto nawiązać formalne partnerstwa ze szkołami średnimi, aby realizować warsztaty tematyczne, dni otwarte i prelekcje prowadzone przez wykładowców i studentów.</w:t>
            </w:r>
          </w:p>
          <w:p w:rsidR="00DC69BF" w:rsidRPr="00842B3E" w:rsidRDefault="00DC69BF" w:rsidP="002400B7">
            <w:pPr>
              <w:pStyle w:val="Akapitzlist"/>
              <w:numPr>
                <w:ilvl w:val="0"/>
                <w:numId w:val="13"/>
              </w:numPr>
              <w:spacing w:line="276" w:lineRule="auto"/>
              <w:jc w:val="both"/>
              <w:rPr>
                <w:rFonts w:cstheme="minorHAnsi"/>
                <w:sz w:val="24"/>
                <w:szCs w:val="24"/>
              </w:rPr>
            </w:pPr>
            <w:r w:rsidRPr="00842B3E">
              <w:rPr>
                <w:rFonts w:cstheme="minorHAnsi"/>
                <w:color w:val="000000" w:themeColor="text1"/>
                <w:sz w:val="24"/>
                <w:szCs w:val="24"/>
              </w:rPr>
              <w:t xml:space="preserve">Kontynuacja </w:t>
            </w:r>
            <w:r w:rsidR="0003048A" w:rsidRPr="00842B3E">
              <w:rPr>
                <w:rFonts w:cstheme="minorHAnsi"/>
                <w:color w:val="000000" w:themeColor="text1"/>
                <w:sz w:val="24"/>
                <w:szCs w:val="24"/>
              </w:rPr>
              <w:t xml:space="preserve"> działalności studenckich kół naukowych i poszerzanie ich współpracy z kołami naukowymi z innych ośrodków naukowych.  </w:t>
            </w:r>
          </w:p>
          <w:p w:rsidR="0003048A" w:rsidRPr="002400B7" w:rsidRDefault="00DC69BF" w:rsidP="002400B7">
            <w:pPr>
              <w:pStyle w:val="Akapitzlist"/>
              <w:numPr>
                <w:ilvl w:val="0"/>
                <w:numId w:val="13"/>
              </w:numPr>
              <w:spacing w:line="276" w:lineRule="auto"/>
              <w:jc w:val="both"/>
              <w:rPr>
                <w:rFonts w:cstheme="minorHAnsi"/>
                <w:sz w:val="24"/>
                <w:szCs w:val="24"/>
              </w:rPr>
            </w:pPr>
            <w:r w:rsidRPr="00842B3E">
              <w:rPr>
                <w:rFonts w:cstheme="minorHAnsi"/>
                <w:color w:val="000000" w:themeColor="text1"/>
                <w:sz w:val="24"/>
                <w:szCs w:val="24"/>
              </w:rPr>
              <w:t>A</w:t>
            </w:r>
            <w:r w:rsidR="0003048A" w:rsidRPr="00842B3E">
              <w:rPr>
                <w:rFonts w:cstheme="minorHAnsi"/>
                <w:color w:val="000000" w:themeColor="text1"/>
                <w:sz w:val="24"/>
                <w:szCs w:val="24"/>
              </w:rPr>
              <w:t xml:space="preserve">ngażowanie studentów w działalność naukową. </w:t>
            </w:r>
          </w:p>
          <w:p w:rsidR="002400B7" w:rsidRPr="00842B3E" w:rsidRDefault="002400B7" w:rsidP="002400B7">
            <w:pPr>
              <w:pStyle w:val="Akapitzlist"/>
              <w:spacing w:line="276" w:lineRule="auto"/>
              <w:jc w:val="both"/>
              <w:rPr>
                <w:rFonts w:cstheme="minorHAnsi"/>
                <w:sz w:val="24"/>
                <w:szCs w:val="24"/>
              </w:rPr>
            </w:pPr>
          </w:p>
        </w:tc>
      </w:tr>
      <w:tr w:rsidR="0003048A" w:rsidRPr="00842B3E" w:rsidTr="00C4078F">
        <w:tc>
          <w:tcPr>
            <w:tcW w:w="9062" w:type="dxa"/>
          </w:tcPr>
          <w:p w:rsidR="0003048A" w:rsidRPr="00842B3E" w:rsidRDefault="0003048A" w:rsidP="002400B7">
            <w:pPr>
              <w:numPr>
                <w:ilvl w:val="0"/>
                <w:numId w:val="1"/>
              </w:numPr>
              <w:spacing w:line="276" w:lineRule="auto"/>
              <w:jc w:val="both"/>
              <w:rPr>
                <w:rFonts w:cstheme="minorHAnsi"/>
                <w:color w:val="002060"/>
                <w:sz w:val="24"/>
                <w:szCs w:val="24"/>
              </w:rPr>
            </w:pPr>
            <w:r w:rsidRPr="00842B3E">
              <w:rPr>
                <w:rFonts w:cstheme="minorHAnsi"/>
                <w:color w:val="002060"/>
                <w:sz w:val="24"/>
                <w:szCs w:val="24"/>
              </w:rPr>
              <w:lastRenderedPageBreak/>
              <w:t>Propozycje innych działań w zakresie doskonalenia jakości kształcenia</w:t>
            </w:r>
          </w:p>
          <w:p w:rsidR="0003048A" w:rsidRPr="00842B3E" w:rsidRDefault="0003048A" w:rsidP="002400B7">
            <w:pPr>
              <w:spacing w:line="276" w:lineRule="auto"/>
              <w:jc w:val="both"/>
              <w:rPr>
                <w:rFonts w:eastAsia="Calibri" w:cstheme="minorHAnsi"/>
                <w:color w:val="002060"/>
                <w:sz w:val="24"/>
                <w:szCs w:val="24"/>
              </w:rPr>
            </w:pPr>
          </w:p>
        </w:tc>
      </w:tr>
      <w:tr w:rsidR="0003048A" w:rsidRPr="00842B3E" w:rsidTr="00C4078F">
        <w:tc>
          <w:tcPr>
            <w:tcW w:w="9062" w:type="dxa"/>
          </w:tcPr>
          <w:p w:rsidR="002400B7" w:rsidRPr="002400B7" w:rsidRDefault="002400B7" w:rsidP="002400B7">
            <w:pPr>
              <w:spacing w:line="276" w:lineRule="auto"/>
              <w:jc w:val="both"/>
              <w:rPr>
                <w:rFonts w:cstheme="minorHAnsi"/>
                <w:sz w:val="24"/>
                <w:szCs w:val="24"/>
              </w:rPr>
            </w:pPr>
          </w:p>
          <w:p w:rsidR="00745782" w:rsidRPr="005A5F3D" w:rsidRDefault="00745782" w:rsidP="002400B7">
            <w:pPr>
              <w:pStyle w:val="Akapitzlist"/>
              <w:numPr>
                <w:ilvl w:val="0"/>
                <w:numId w:val="14"/>
              </w:numPr>
              <w:spacing w:line="276" w:lineRule="auto"/>
              <w:jc w:val="both"/>
              <w:rPr>
                <w:rFonts w:cstheme="minorHAnsi"/>
                <w:sz w:val="24"/>
                <w:szCs w:val="24"/>
              </w:rPr>
            </w:pPr>
            <w:r w:rsidRPr="005A5F3D">
              <w:rPr>
                <w:sz w:val="24"/>
                <w:szCs w:val="24"/>
              </w:rPr>
              <w:t xml:space="preserve">Podniesienie rangi dydaktyki w ocenie uczelni - Obecnie system oceny uczelni w Polsce nadmiernie koncentruje się na dorobku naukowym, marginalizując wkład dydaktyczny nauczycieli akademickich. Uniwersytet jako instytucja powinien przede wszystkim realizować misję kształcenia, co wymaga uznania dydaktyki za priorytet równorzędny wobec działalności badawczej. </w:t>
            </w:r>
          </w:p>
          <w:p w:rsidR="00745782" w:rsidRPr="005A5F3D" w:rsidRDefault="00745782" w:rsidP="002400B7">
            <w:pPr>
              <w:pStyle w:val="Akapitzlist"/>
              <w:numPr>
                <w:ilvl w:val="0"/>
                <w:numId w:val="14"/>
              </w:numPr>
              <w:spacing w:line="276" w:lineRule="auto"/>
              <w:jc w:val="both"/>
              <w:rPr>
                <w:rFonts w:cstheme="minorHAnsi"/>
                <w:sz w:val="24"/>
                <w:szCs w:val="24"/>
              </w:rPr>
            </w:pPr>
            <w:r w:rsidRPr="005A5F3D">
              <w:rPr>
                <w:sz w:val="24"/>
                <w:szCs w:val="24"/>
              </w:rPr>
              <w:t xml:space="preserve">Wprowadzenie wewnętrznych mechanizmów nagradzania dydaktyków wyróżniających się innowacyjnością oraz wysoką jakością prowadzonych zajęć. </w:t>
            </w:r>
          </w:p>
          <w:p w:rsidR="00745782" w:rsidRPr="005A5F3D" w:rsidRDefault="00745782" w:rsidP="002400B7">
            <w:pPr>
              <w:pStyle w:val="Akapitzlist"/>
              <w:numPr>
                <w:ilvl w:val="0"/>
                <w:numId w:val="14"/>
              </w:numPr>
              <w:spacing w:line="276" w:lineRule="auto"/>
              <w:jc w:val="both"/>
              <w:rPr>
                <w:rFonts w:cstheme="minorHAnsi"/>
                <w:sz w:val="24"/>
                <w:szCs w:val="24"/>
              </w:rPr>
            </w:pPr>
            <w:r w:rsidRPr="005A5F3D">
              <w:rPr>
                <w:sz w:val="24"/>
                <w:szCs w:val="24"/>
              </w:rPr>
              <w:t xml:space="preserve">Rekomendowane jest ustanowienie corocznych nagród dziekańskich dla najlepszych dydaktyków </w:t>
            </w:r>
          </w:p>
          <w:p w:rsidR="00745782" w:rsidRPr="005A5F3D" w:rsidRDefault="00745782" w:rsidP="002400B7">
            <w:pPr>
              <w:pStyle w:val="Akapitzlist"/>
              <w:numPr>
                <w:ilvl w:val="0"/>
                <w:numId w:val="14"/>
              </w:numPr>
              <w:spacing w:line="276" w:lineRule="auto"/>
              <w:jc w:val="both"/>
              <w:rPr>
                <w:rFonts w:cstheme="minorHAnsi"/>
                <w:sz w:val="24"/>
                <w:szCs w:val="24"/>
              </w:rPr>
            </w:pPr>
            <w:r w:rsidRPr="005A5F3D">
              <w:rPr>
                <w:sz w:val="24"/>
                <w:szCs w:val="24"/>
              </w:rPr>
              <w:t xml:space="preserve">Rekomendowane jest wdrożenie systemu mentoringu w dydaktyce. </w:t>
            </w:r>
          </w:p>
          <w:p w:rsidR="00745782" w:rsidRPr="00842B3E" w:rsidRDefault="00745782" w:rsidP="002400B7">
            <w:pPr>
              <w:pStyle w:val="Akapitzlist"/>
              <w:numPr>
                <w:ilvl w:val="0"/>
                <w:numId w:val="14"/>
              </w:numPr>
              <w:spacing w:line="276" w:lineRule="auto"/>
              <w:jc w:val="both"/>
              <w:rPr>
                <w:rFonts w:cstheme="minorHAnsi"/>
                <w:color w:val="FF0000"/>
                <w:sz w:val="24"/>
                <w:szCs w:val="24"/>
              </w:rPr>
            </w:pPr>
            <w:r w:rsidRPr="005A5F3D">
              <w:rPr>
                <w:sz w:val="24"/>
                <w:szCs w:val="24"/>
              </w:rPr>
              <w:t xml:space="preserve">Zapewnienie odpowiedniego miejsca dydaktyce ogólnej i szczegółowej w programach studiów. W tym celu należy: rozbudować ofertę szkoleń dla pracowników </w:t>
            </w:r>
            <w:r w:rsidRPr="00842B3E">
              <w:rPr>
                <w:sz w:val="24"/>
                <w:szCs w:val="24"/>
              </w:rPr>
              <w:t xml:space="preserve">w zakresie nowoczesnych metod nauczania, takich jak dydaktyka cyfrowa, grywalizacja czy praca projektowa, ustanowić obligatoryjne warsztaty dydaktyczne dla młodych naukowców i </w:t>
            </w:r>
            <w:r w:rsidRPr="00842B3E">
              <w:rPr>
                <w:sz w:val="24"/>
                <w:szCs w:val="24"/>
              </w:rPr>
              <w:lastRenderedPageBreak/>
              <w:t xml:space="preserve">doktorantów, wzmocnić obecność kursów z zakresu dydaktyk szczegółowych w planach studiów, szczególnie na kierunkach pedagogicznych i humanistycznych, wprowadzić mechanizm regularnych konsultacji z przedstawicielami studentów na temat programów i metod nauczania. </w:t>
            </w:r>
          </w:p>
          <w:p w:rsidR="00745782" w:rsidRPr="00842B3E" w:rsidRDefault="00745782" w:rsidP="002400B7">
            <w:pPr>
              <w:pStyle w:val="Akapitzlist"/>
              <w:numPr>
                <w:ilvl w:val="0"/>
                <w:numId w:val="14"/>
              </w:numPr>
              <w:spacing w:line="276" w:lineRule="auto"/>
              <w:jc w:val="both"/>
              <w:rPr>
                <w:rFonts w:cstheme="minorHAnsi"/>
                <w:color w:val="FF0000"/>
                <w:sz w:val="24"/>
                <w:szCs w:val="24"/>
              </w:rPr>
            </w:pPr>
            <w:r w:rsidRPr="00842B3E">
              <w:rPr>
                <w:sz w:val="24"/>
                <w:szCs w:val="24"/>
              </w:rPr>
              <w:t xml:space="preserve">Studenci powinni mieć możliwość aktywnego współtworzenia kursów poprzez zgłaszanie własnych propozycji zajęć fakultatywnych lub tematów projektów grupowych. Warto także umożliwić im współprowadzenie zajęć w formie </w:t>
            </w:r>
            <w:proofErr w:type="spellStart"/>
            <w:r w:rsidRPr="00842B3E">
              <w:rPr>
                <w:sz w:val="24"/>
                <w:szCs w:val="24"/>
              </w:rPr>
              <w:t>tutoringu</w:t>
            </w:r>
            <w:proofErr w:type="spellEnd"/>
            <w:r w:rsidRPr="00842B3E">
              <w:rPr>
                <w:sz w:val="24"/>
                <w:szCs w:val="24"/>
              </w:rPr>
              <w:t xml:space="preserve"> rówieśniczego</w:t>
            </w:r>
          </w:p>
          <w:p w:rsidR="00A12011" w:rsidRPr="005A5F3D" w:rsidRDefault="00745782" w:rsidP="002400B7">
            <w:pPr>
              <w:pStyle w:val="Akapitzlist"/>
              <w:numPr>
                <w:ilvl w:val="0"/>
                <w:numId w:val="14"/>
              </w:numPr>
              <w:spacing w:line="276" w:lineRule="auto"/>
              <w:jc w:val="both"/>
              <w:rPr>
                <w:rFonts w:cstheme="minorHAnsi"/>
                <w:color w:val="FF0000"/>
                <w:sz w:val="24"/>
                <w:szCs w:val="24"/>
              </w:rPr>
            </w:pPr>
            <w:r w:rsidRPr="00842B3E">
              <w:rPr>
                <w:sz w:val="24"/>
                <w:szCs w:val="24"/>
              </w:rPr>
              <w:t xml:space="preserve">Poprawa infrastruktury dydaktycznej, w tym wyposażenie </w:t>
            </w:r>
            <w:proofErr w:type="spellStart"/>
            <w:r w:rsidRPr="00842B3E">
              <w:rPr>
                <w:sz w:val="24"/>
                <w:szCs w:val="24"/>
              </w:rPr>
              <w:t>sal</w:t>
            </w:r>
            <w:proofErr w:type="spellEnd"/>
            <w:r w:rsidR="005A5F3D">
              <w:rPr>
                <w:sz w:val="24"/>
                <w:szCs w:val="24"/>
              </w:rPr>
              <w:t xml:space="preserve"> w nowoczesne technologie</w:t>
            </w:r>
          </w:p>
          <w:p w:rsidR="005A5F3D" w:rsidRPr="00842B3E" w:rsidRDefault="005A5F3D" w:rsidP="002400B7">
            <w:pPr>
              <w:pStyle w:val="Akapitzlist"/>
              <w:numPr>
                <w:ilvl w:val="0"/>
                <w:numId w:val="14"/>
              </w:numPr>
              <w:spacing w:line="276" w:lineRule="auto"/>
              <w:jc w:val="both"/>
              <w:rPr>
                <w:rFonts w:cstheme="minorHAnsi"/>
                <w:color w:val="FF0000"/>
                <w:sz w:val="24"/>
                <w:szCs w:val="24"/>
              </w:rPr>
            </w:pPr>
            <w:r>
              <w:rPr>
                <w:sz w:val="24"/>
                <w:szCs w:val="24"/>
              </w:rPr>
              <w:t>Wsparcie nauczycieli w rozwoju ich kompetencji zawodowych i językowych</w:t>
            </w:r>
          </w:p>
          <w:p w:rsidR="00745782" w:rsidRPr="00842B3E" w:rsidRDefault="005A5F3D" w:rsidP="002400B7">
            <w:pPr>
              <w:pStyle w:val="Akapitzlist"/>
              <w:numPr>
                <w:ilvl w:val="0"/>
                <w:numId w:val="14"/>
              </w:numPr>
              <w:spacing w:line="276" w:lineRule="auto"/>
              <w:jc w:val="both"/>
              <w:rPr>
                <w:rFonts w:cstheme="minorHAnsi"/>
                <w:color w:val="FF0000"/>
                <w:sz w:val="24"/>
                <w:szCs w:val="24"/>
              </w:rPr>
            </w:pPr>
            <w:r>
              <w:rPr>
                <w:sz w:val="24"/>
                <w:szCs w:val="24"/>
              </w:rPr>
              <w:t>W</w:t>
            </w:r>
            <w:r w:rsidR="00745782" w:rsidRPr="00842B3E">
              <w:rPr>
                <w:sz w:val="24"/>
                <w:szCs w:val="24"/>
              </w:rPr>
              <w:t>arto rozszerzać współpracę z międzynarodowymi instytucjami w zakresie dydaktyki, m.in. poprzez wspólne projekty nauczania, wymianę dobrych praktyk oraz organizację międzynarodowych konferencji poświęconych nowoczesnym metodom kształcenia</w:t>
            </w:r>
          </w:p>
          <w:p w:rsidR="0003048A" w:rsidRPr="00842B3E" w:rsidRDefault="0003048A" w:rsidP="002400B7">
            <w:pPr>
              <w:spacing w:line="276" w:lineRule="auto"/>
              <w:ind w:left="720"/>
              <w:jc w:val="both"/>
              <w:rPr>
                <w:rFonts w:eastAsia="Calibri" w:cstheme="minorHAnsi"/>
                <w:color w:val="FF0000"/>
                <w:sz w:val="24"/>
                <w:szCs w:val="24"/>
              </w:rPr>
            </w:pPr>
          </w:p>
        </w:tc>
      </w:tr>
      <w:tr w:rsidR="0003048A" w:rsidRPr="00842B3E" w:rsidTr="00C4078F">
        <w:tc>
          <w:tcPr>
            <w:tcW w:w="9062" w:type="dxa"/>
          </w:tcPr>
          <w:p w:rsidR="0003048A" w:rsidRPr="00842B3E" w:rsidRDefault="0003048A" w:rsidP="002400B7">
            <w:pPr>
              <w:numPr>
                <w:ilvl w:val="0"/>
                <w:numId w:val="1"/>
              </w:numPr>
              <w:spacing w:line="276" w:lineRule="auto"/>
              <w:jc w:val="both"/>
              <w:rPr>
                <w:rFonts w:cstheme="minorHAnsi"/>
                <w:color w:val="002060"/>
                <w:sz w:val="24"/>
                <w:szCs w:val="24"/>
              </w:rPr>
            </w:pPr>
            <w:r w:rsidRPr="00842B3E">
              <w:rPr>
                <w:rFonts w:cstheme="minorHAnsi"/>
                <w:color w:val="002060"/>
                <w:sz w:val="24"/>
                <w:szCs w:val="24"/>
              </w:rPr>
              <w:lastRenderedPageBreak/>
              <w:t>Przykłady dobrych praktyk</w:t>
            </w:r>
          </w:p>
          <w:p w:rsidR="0003048A" w:rsidRPr="00842B3E" w:rsidRDefault="0003048A" w:rsidP="002400B7">
            <w:pPr>
              <w:spacing w:line="276" w:lineRule="auto"/>
              <w:jc w:val="both"/>
              <w:rPr>
                <w:rFonts w:eastAsia="Calibri" w:cstheme="minorHAnsi"/>
                <w:color w:val="002060"/>
                <w:sz w:val="24"/>
                <w:szCs w:val="24"/>
              </w:rPr>
            </w:pPr>
          </w:p>
        </w:tc>
      </w:tr>
      <w:tr w:rsidR="0003048A" w:rsidRPr="00842B3E" w:rsidTr="00C4078F">
        <w:tc>
          <w:tcPr>
            <w:tcW w:w="9062" w:type="dxa"/>
          </w:tcPr>
          <w:p w:rsidR="0003048A" w:rsidRPr="00842B3E" w:rsidRDefault="0003048A" w:rsidP="002400B7">
            <w:pPr>
              <w:pStyle w:val="Akapitzlist"/>
              <w:spacing w:before="240" w:after="160" w:line="276" w:lineRule="auto"/>
              <w:jc w:val="both"/>
              <w:rPr>
                <w:rFonts w:cstheme="minorHAnsi"/>
                <w:sz w:val="24"/>
                <w:szCs w:val="24"/>
              </w:rPr>
            </w:pPr>
          </w:p>
          <w:p w:rsidR="00A12011" w:rsidRPr="00842B3E" w:rsidRDefault="00A12011" w:rsidP="002400B7">
            <w:pPr>
              <w:pStyle w:val="Akapitzlist"/>
              <w:numPr>
                <w:ilvl w:val="0"/>
                <w:numId w:val="16"/>
              </w:numPr>
              <w:spacing w:before="240" w:after="160" w:line="276" w:lineRule="auto"/>
              <w:rPr>
                <w:rFonts w:cstheme="minorHAnsi"/>
                <w:sz w:val="24"/>
                <w:szCs w:val="24"/>
              </w:rPr>
            </w:pPr>
            <w:r w:rsidRPr="00842B3E">
              <w:rPr>
                <w:rFonts w:cstheme="minorHAnsi"/>
                <w:sz w:val="24"/>
                <w:szCs w:val="24"/>
              </w:rPr>
              <w:t>Regularne organizowanie spotkań z przedstawicielami instytucji i pracodawców współpracujących z UO, w celu dopasowania programów kształcenia do potrzeb rynku pracy.</w:t>
            </w:r>
          </w:p>
          <w:p w:rsidR="00A12011" w:rsidRPr="00842B3E" w:rsidRDefault="00A12011" w:rsidP="002400B7">
            <w:pPr>
              <w:pStyle w:val="Akapitzlist"/>
              <w:numPr>
                <w:ilvl w:val="0"/>
                <w:numId w:val="16"/>
              </w:numPr>
              <w:spacing w:before="240" w:after="160" w:line="276" w:lineRule="auto"/>
              <w:rPr>
                <w:rFonts w:cstheme="minorHAnsi"/>
                <w:sz w:val="24"/>
                <w:szCs w:val="24"/>
              </w:rPr>
            </w:pPr>
            <w:r w:rsidRPr="00842B3E">
              <w:rPr>
                <w:rFonts w:cstheme="minorHAnsi"/>
                <w:sz w:val="24"/>
                <w:szCs w:val="24"/>
              </w:rPr>
              <w:t xml:space="preserve">Rozszerzenie praktyk i staży o nowe placówki, szczególnie w obszarach wymagających nowoczesnych kompetencji (np. AI, Design </w:t>
            </w:r>
            <w:proofErr w:type="spellStart"/>
            <w:r w:rsidRPr="00842B3E">
              <w:rPr>
                <w:rFonts w:cstheme="minorHAnsi"/>
                <w:sz w:val="24"/>
                <w:szCs w:val="24"/>
              </w:rPr>
              <w:t>Thinking</w:t>
            </w:r>
            <w:proofErr w:type="spellEnd"/>
            <w:r w:rsidRPr="00842B3E">
              <w:rPr>
                <w:rFonts w:cstheme="minorHAnsi"/>
                <w:sz w:val="24"/>
                <w:szCs w:val="24"/>
              </w:rPr>
              <w:t>).</w:t>
            </w:r>
          </w:p>
          <w:p w:rsidR="00A12011" w:rsidRPr="00842B3E"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t>Powołanie stałych zespołów ds. jakości kształcenia na każdym kierunku, z udziałem studentów.</w:t>
            </w:r>
          </w:p>
          <w:p w:rsidR="00ED142D" w:rsidRPr="00842B3E"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t>Wprowadzenie regularnych badań ankietowych dotyczących satysfakcji z treści i form kształcenia, z raportowaniem wyników publicznie.</w:t>
            </w:r>
          </w:p>
          <w:p w:rsidR="00ED142D" w:rsidRPr="00842B3E" w:rsidRDefault="00ED142D" w:rsidP="002400B7">
            <w:pPr>
              <w:pStyle w:val="Akapitzlist"/>
              <w:numPr>
                <w:ilvl w:val="0"/>
                <w:numId w:val="16"/>
              </w:numPr>
              <w:spacing w:before="240" w:line="276" w:lineRule="auto"/>
              <w:rPr>
                <w:rFonts w:cstheme="minorHAnsi"/>
                <w:sz w:val="24"/>
                <w:szCs w:val="24"/>
              </w:rPr>
            </w:pPr>
            <w:r w:rsidRPr="00842B3E">
              <w:rPr>
                <w:rFonts w:cstheme="minorHAnsi"/>
                <w:sz w:val="24"/>
                <w:szCs w:val="24"/>
              </w:rPr>
              <w:t>Aplikowanie o granty na realizację działań dydaktycznych (psychologia, praca socjalna)</w:t>
            </w:r>
          </w:p>
          <w:p w:rsidR="00A12011" w:rsidRPr="00842B3E"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t>Poszerzenie oferty zajęć terenowych, warsztatów i projektów włączających studentów w praktyczne działania (np. projekty społeczne, interaktywne warsztaty w instytucjach partnerskich).</w:t>
            </w:r>
          </w:p>
          <w:p w:rsidR="00A12011" w:rsidRPr="00842B3E"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t>Wprowadzenie interdyscyplinarnych projektów zespołowych z udziałem studentów z różnych kierunków WNS.</w:t>
            </w:r>
            <w:bookmarkStart w:id="0" w:name="_GoBack"/>
            <w:bookmarkEnd w:id="0"/>
          </w:p>
          <w:p w:rsidR="00A12011" w:rsidRPr="005A5F3D"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t>Organizowanie cyklicznych szkoleń z zakresu nowych m</w:t>
            </w:r>
            <w:r w:rsidR="005A5F3D">
              <w:rPr>
                <w:rFonts w:cstheme="minorHAnsi"/>
                <w:sz w:val="24"/>
                <w:szCs w:val="24"/>
              </w:rPr>
              <w:t xml:space="preserve">etod dydaktycznych, technologicznych i </w:t>
            </w:r>
            <w:r w:rsidRPr="005A5F3D">
              <w:rPr>
                <w:rFonts w:cstheme="minorHAnsi"/>
                <w:sz w:val="24"/>
                <w:szCs w:val="24"/>
              </w:rPr>
              <w:t>edukacyjnych oraz kompetencji cyfrowych.</w:t>
            </w:r>
          </w:p>
          <w:p w:rsidR="00A12011" w:rsidRPr="005A5F3D" w:rsidRDefault="00A12011" w:rsidP="002400B7">
            <w:pPr>
              <w:pStyle w:val="Akapitzlist"/>
              <w:numPr>
                <w:ilvl w:val="0"/>
                <w:numId w:val="16"/>
              </w:numPr>
              <w:spacing w:before="240" w:after="160" w:line="276" w:lineRule="auto"/>
              <w:rPr>
                <w:rFonts w:cstheme="minorHAnsi"/>
                <w:sz w:val="24"/>
                <w:szCs w:val="24"/>
              </w:rPr>
            </w:pPr>
            <w:r w:rsidRPr="00842B3E">
              <w:rPr>
                <w:rFonts w:cstheme="minorHAnsi"/>
                <w:sz w:val="24"/>
                <w:szCs w:val="24"/>
              </w:rPr>
              <w:t xml:space="preserve">Zachęcanie pracowników do udziału w kursach doskonalących, związanych z aktualnymi </w:t>
            </w:r>
            <w:r w:rsidRPr="005A5F3D">
              <w:rPr>
                <w:rFonts w:cstheme="minorHAnsi"/>
                <w:sz w:val="24"/>
                <w:szCs w:val="24"/>
              </w:rPr>
              <w:t>wyzwaniami naukowymi i dydaktycznymi.</w:t>
            </w:r>
          </w:p>
          <w:p w:rsidR="00A12011" w:rsidRPr="00842B3E"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t>Organizowanie spotkań integracyjnych oraz wydarzeń mających na celu rozwój kompetencji społecznych i kreatywnych (np. wystawy, konferencje).</w:t>
            </w:r>
          </w:p>
          <w:p w:rsidR="00A12011" w:rsidRPr="005A5F3D"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lastRenderedPageBreak/>
              <w:t xml:space="preserve">Kontynuacja i rozwój działań dostosowujących proces dydaktyczny do potrzeb studentów z </w:t>
            </w:r>
            <w:r w:rsidRPr="005A5F3D">
              <w:rPr>
                <w:rFonts w:cstheme="minorHAnsi"/>
                <w:sz w:val="24"/>
                <w:szCs w:val="24"/>
              </w:rPr>
              <w:t>niepełnosprawnościami.</w:t>
            </w:r>
          </w:p>
          <w:p w:rsidR="00A12011" w:rsidRPr="00842B3E"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t>Prowadzenie warsztatów antydyskryminacyjnych i promujących równość szans.</w:t>
            </w:r>
          </w:p>
          <w:p w:rsidR="00A12011" w:rsidRPr="005A5F3D" w:rsidRDefault="00A12011" w:rsidP="002400B7">
            <w:pPr>
              <w:pStyle w:val="Akapitzlist"/>
              <w:numPr>
                <w:ilvl w:val="0"/>
                <w:numId w:val="16"/>
              </w:numPr>
              <w:spacing w:before="240" w:line="276" w:lineRule="auto"/>
              <w:rPr>
                <w:rFonts w:cstheme="minorHAnsi"/>
                <w:sz w:val="24"/>
                <w:szCs w:val="24"/>
              </w:rPr>
            </w:pPr>
            <w:r w:rsidRPr="00842B3E">
              <w:rPr>
                <w:rFonts w:cstheme="minorHAnsi"/>
                <w:sz w:val="24"/>
                <w:szCs w:val="24"/>
              </w:rPr>
              <w:t xml:space="preserve">Organizowanie otwartych wydarzeń, takich jak Złote Wykłady Wydziału Nauk Społecznych, </w:t>
            </w:r>
            <w:r w:rsidR="005A5F3D">
              <w:rPr>
                <w:rFonts w:cstheme="minorHAnsi"/>
                <w:sz w:val="24"/>
                <w:szCs w:val="24"/>
              </w:rPr>
              <w:t xml:space="preserve"> </w:t>
            </w:r>
            <w:r w:rsidRPr="005A5F3D">
              <w:rPr>
                <w:rFonts w:cstheme="minorHAnsi"/>
                <w:sz w:val="24"/>
                <w:szCs w:val="24"/>
              </w:rPr>
              <w:t>wystawy czy akcje społeczne, które angażują studentów i prezentują wyniki badań na szerokim forum.</w:t>
            </w:r>
          </w:p>
          <w:p w:rsidR="0003048A" w:rsidRPr="00842B3E" w:rsidRDefault="00A12011" w:rsidP="002400B7">
            <w:pPr>
              <w:pStyle w:val="Akapitzlist"/>
              <w:numPr>
                <w:ilvl w:val="0"/>
                <w:numId w:val="16"/>
              </w:numPr>
              <w:spacing w:before="240" w:after="160" w:line="276" w:lineRule="auto"/>
              <w:rPr>
                <w:rFonts w:cstheme="minorHAnsi"/>
                <w:sz w:val="24"/>
                <w:szCs w:val="24"/>
              </w:rPr>
            </w:pPr>
            <w:r w:rsidRPr="00842B3E">
              <w:rPr>
                <w:rFonts w:cstheme="minorHAnsi"/>
                <w:sz w:val="24"/>
                <w:szCs w:val="24"/>
              </w:rPr>
              <w:t>Wspieranie udziału studentów w konkursach i konferencjach naukowych, a także ich aktywnego włączania w publikacje naukowe.</w:t>
            </w:r>
          </w:p>
        </w:tc>
      </w:tr>
    </w:tbl>
    <w:p w:rsidR="0003048A" w:rsidRPr="00842B3E" w:rsidRDefault="0003048A" w:rsidP="002400B7">
      <w:pPr>
        <w:spacing w:after="200" w:line="276" w:lineRule="auto"/>
        <w:rPr>
          <w:rFonts w:eastAsia="Times New Roman" w:cstheme="minorHAnsi"/>
          <w:sz w:val="24"/>
          <w:szCs w:val="24"/>
          <w:lang w:eastAsia="pl-PL"/>
        </w:rPr>
      </w:pPr>
    </w:p>
    <w:p w:rsidR="0003048A" w:rsidRPr="00842B3E" w:rsidRDefault="0003048A" w:rsidP="002400B7">
      <w:pPr>
        <w:spacing w:line="276" w:lineRule="auto"/>
        <w:jc w:val="center"/>
        <w:rPr>
          <w:rFonts w:cstheme="minorHAnsi"/>
          <w:sz w:val="24"/>
          <w:szCs w:val="24"/>
        </w:rPr>
      </w:pPr>
    </w:p>
    <w:p w:rsidR="007A0A5B" w:rsidRPr="002400B7" w:rsidRDefault="007A0A5B" w:rsidP="002400B7">
      <w:pPr>
        <w:spacing w:after="0" w:line="276" w:lineRule="auto"/>
        <w:jc w:val="both"/>
        <w:rPr>
          <w:rFonts w:eastAsia="Calibri" w:cstheme="minorHAnsi"/>
          <w:sz w:val="24"/>
          <w:szCs w:val="24"/>
          <w:lang w:val="pl"/>
        </w:rPr>
      </w:pPr>
    </w:p>
    <w:sectPr w:rsidR="007A0A5B" w:rsidRPr="002400B7" w:rsidSect="00D45A2C">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870" w:rsidRDefault="008E3870" w:rsidP="002400B7">
      <w:pPr>
        <w:spacing w:after="0" w:line="240" w:lineRule="auto"/>
      </w:pPr>
      <w:r>
        <w:separator/>
      </w:r>
    </w:p>
  </w:endnote>
  <w:endnote w:type="continuationSeparator" w:id="0">
    <w:p w:rsidR="008E3870" w:rsidRDefault="008E3870" w:rsidP="0024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389725"/>
      <w:docPartObj>
        <w:docPartGallery w:val="Page Numbers (Bottom of Page)"/>
        <w:docPartUnique/>
      </w:docPartObj>
    </w:sdtPr>
    <w:sdtEndPr/>
    <w:sdtContent>
      <w:p w:rsidR="002400B7" w:rsidRDefault="002400B7">
        <w:pPr>
          <w:pStyle w:val="Stopka"/>
          <w:jc w:val="center"/>
        </w:pPr>
        <w:r>
          <w:fldChar w:fldCharType="begin"/>
        </w:r>
        <w:r>
          <w:instrText>PAGE   \* MERGEFORMAT</w:instrText>
        </w:r>
        <w:r>
          <w:fldChar w:fldCharType="separate"/>
        </w:r>
        <w:r w:rsidR="008F6A89">
          <w:rPr>
            <w:noProof/>
          </w:rPr>
          <w:t>2</w:t>
        </w:r>
        <w:r>
          <w:fldChar w:fldCharType="end"/>
        </w:r>
      </w:p>
    </w:sdtContent>
  </w:sdt>
  <w:p w:rsidR="002400B7" w:rsidRDefault="002400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870" w:rsidRDefault="008E3870" w:rsidP="002400B7">
      <w:pPr>
        <w:spacing w:after="0" w:line="240" w:lineRule="auto"/>
      </w:pPr>
      <w:r>
        <w:separator/>
      </w:r>
    </w:p>
  </w:footnote>
  <w:footnote w:type="continuationSeparator" w:id="0">
    <w:p w:rsidR="008E3870" w:rsidRDefault="008E3870" w:rsidP="00240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FC"/>
    <w:multiLevelType w:val="hybridMultilevel"/>
    <w:tmpl w:val="62282388"/>
    <w:lvl w:ilvl="0" w:tplc="726655A8">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D3C578F"/>
    <w:multiLevelType w:val="hybridMultilevel"/>
    <w:tmpl w:val="A7249810"/>
    <w:lvl w:ilvl="0" w:tplc="04150001">
      <w:start w:val="1"/>
      <w:numFmt w:val="bullet"/>
      <w:lvlText w:val=""/>
      <w:lvlJc w:val="left"/>
      <w:pPr>
        <w:ind w:left="75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F9B6B39"/>
    <w:multiLevelType w:val="hybridMultilevel"/>
    <w:tmpl w:val="06A66B4C"/>
    <w:lvl w:ilvl="0" w:tplc="17765D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9548EC"/>
    <w:multiLevelType w:val="hybridMultilevel"/>
    <w:tmpl w:val="10169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CD0C11"/>
    <w:multiLevelType w:val="hybridMultilevel"/>
    <w:tmpl w:val="2C94964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2E61BA8"/>
    <w:multiLevelType w:val="hybridMultilevel"/>
    <w:tmpl w:val="7CE6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0E2714"/>
    <w:multiLevelType w:val="hybridMultilevel"/>
    <w:tmpl w:val="B98E1BEC"/>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 w15:restartNumberingAfterBreak="0">
    <w:nsid w:val="26A11AFA"/>
    <w:multiLevelType w:val="hybridMultilevel"/>
    <w:tmpl w:val="72E88764"/>
    <w:lvl w:ilvl="0" w:tplc="F3E416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632081"/>
    <w:multiLevelType w:val="hybridMultilevel"/>
    <w:tmpl w:val="77B4B3F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31931AB3"/>
    <w:multiLevelType w:val="hybridMultilevel"/>
    <w:tmpl w:val="0D86173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5677D0A"/>
    <w:multiLevelType w:val="hybridMultilevel"/>
    <w:tmpl w:val="324CE0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343D54"/>
    <w:multiLevelType w:val="hybridMultilevel"/>
    <w:tmpl w:val="0512F0B2"/>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3DE9668D"/>
    <w:multiLevelType w:val="multilevel"/>
    <w:tmpl w:val="DFA42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C5548C"/>
    <w:multiLevelType w:val="hybridMultilevel"/>
    <w:tmpl w:val="8CC625B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4D92B8B"/>
    <w:multiLevelType w:val="hybridMultilevel"/>
    <w:tmpl w:val="40FC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706901"/>
    <w:multiLevelType w:val="hybridMultilevel"/>
    <w:tmpl w:val="8E1096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DD4544"/>
    <w:multiLevelType w:val="hybridMultilevel"/>
    <w:tmpl w:val="B336ACFA"/>
    <w:lvl w:ilvl="0" w:tplc="0415000B">
      <w:start w:val="1"/>
      <w:numFmt w:val="bullet"/>
      <w:lvlText w:val=""/>
      <w:lvlJc w:val="left"/>
      <w:pPr>
        <w:ind w:left="360" w:hanging="360"/>
      </w:pPr>
      <w:rPr>
        <w:rFonts w:ascii="Wingdings" w:hAnsi="Wingdings" w:hint="default"/>
      </w:rPr>
    </w:lvl>
    <w:lvl w:ilvl="1" w:tplc="B3C404EC">
      <w:numFmt w:val="bullet"/>
      <w:lvlText w:val="•"/>
      <w:lvlJc w:val="left"/>
      <w:pPr>
        <w:ind w:left="1080" w:hanging="360"/>
      </w:pPr>
      <w:rPr>
        <w:rFonts w:ascii="Calibri" w:eastAsia="Times New Roman"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12"/>
  </w:num>
  <w:num w:numId="5">
    <w:abstractNumId w:val="8"/>
  </w:num>
  <w:num w:numId="6">
    <w:abstractNumId w:val="5"/>
  </w:num>
  <w:num w:numId="7">
    <w:abstractNumId w:val="14"/>
  </w:num>
  <w:num w:numId="8">
    <w:abstractNumId w:val="10"/>
  </w:num>
  <w:num w:numId="9">
    <w:abstractNumId w:val="7"/>
  </w:num>
  <w:num w:numId="10">
    <w:abstractNumId w:val="13"/>
  </w:num>
  <w:num w:numId="11">
    <w:abstractNumId w:val="11"/>
  </w:num>
  <w:num w:numId="12">
    <w:abstractNumId w:val="4"/>
  </w:num>
  <w:num w:numId="13">
    <w:abstractNumId w:val="9"/>
  </w:num>
  <w:num w:numId="14">
    <w:abstractNumId w:val="0"/>
  </w:num>
  <w:num w:numId="15">
    <w:abstractNumId w:val="15"/>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72"/>
    <w:rsid w:val="0003048A"/>
    <w:rsid w:val="002400B7"/>
    <w:rsid w:val="00344CA0"/>
    <w:rsid w:val="0050169E"/>
    <w:rsid w:val="005A5F3D"/>
    <w:rsid w:val="005F7B2E"/>
    <w:rsid w:val="00684072"/>
    <w:rsid w:val="00745782"/>
    <w:rsid w:val="007A0A5B"/>
    <w:rsid w:val="00842B3E"/>
    <w:rsid w:val="00885531"/>
    <w:rsid w:val="008E3870"/>
    <w:rsid w:val="008F6A89"/>
    <w:rsid w:val="00A12011"/>
    <w:rsid w:val="00A24F47"/>
    <w:rsid w:val="00AD2390"/>
    <w:rsid w:val="00BD3BEE"/>
    <w:rsid w:val="00D45A2C"/>
    <w:rsid w:val="00DC69BF"/>
    <w:rsid w:val="00E15BC3"/>
    <w:rsid w:val="00E23D5D"/>
    <w:rsid w:val="00ED142D"/>
    <w:rsid w:val="00EE61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12D5"/>
  <w15:chartTrackingRefBased/>
  <w15:docId w15:val="{04E8B7A7-B9A3-418D-9F10-E79B0D12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048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048A"/>
    <w:pPr>
      <w:ind w:left="720"/>
      <w:contextualSpacing/>
    </w:pPr>
  </w:style>
  <w:style w:type="table" w:customStyle="1" w:styleId="Tabela-Siatka2">
    <w:name w:val="Tabela - Siatka2"/>
    <w:basedOn w:val="Standardowy"/>
    <w:next w:val="Tabela-Siatka"/>
    <w:uiPriority w:val="59"/>
    <w:rsid w:val="0003048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3048A"/>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03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400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00B7"/>
  </w:style>
  <w:style w:type="paragraph" w:styleId="Stopka">
    <w:name w:val="footer"/>
    <w:basedOn w:val="Normalny"/>
    <w:link w:val="StopkaZnak"/>
    <w:uiPriority w:val="99"/>
    <w:unhideWhenUsed/>
    <w:rsid w:val="002400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1922</Words>
  <Characters>11532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dc:creator>
  <cp:keywords/>
  <dc:description/>
  <cp:lastModifiedBy>Iwona Dąbrowska-Jabłońska</cp:lastModifiedBy>
  <cp:revision>2</cp:revision>
  <dcterms:created xsi:type="dcterms:W3CDTF">2024-12-02T07:40:00Z</dcterms:created>
  <dcterms:modified xsi:type="dcterms:W3CDTF">2024-12-02T07:40:00Z</dcterms:modified>
</cp:coreProperties>
</file>